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</w:rPr>
        <w:t>Maestr</w:t>
      </w: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  <w:lang w:val="es-ES_tradnl"/>
        </w:rPr>
        <w:t>ía en Literaturas Española y Latinoamericana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  <w:lang w:val="es-ES_tradnl"/>
        </w:rPr>
        <w:t>Facultad de Filosofía y Letras</w:t>
      </w:r>
    </w:p>
    <w:p w:rsidR="00B12097" w:rsidRPr="008F04C1" w:rsidRDefault="00555824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  <w:lang w:val="es-ES_tradnl"/>
        </w:rPr>
        <w:t>Universidad de Buenos Aires</w:t>
      </w: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097" w:rsidRPr="008F04C1" w:rsidRDefault="00555824">
      <w:pPr>
        <w:pStyle w:val="Cuerpo"/>
        <w:spacing w:after="0" w:line="240" w:lineRule="auto"/>
        <w:jc w:val="center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</w:rPr>
        <w:t xml:space="preserve">Seminario: </w:t>
      </w: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  <w:lang w:val="es-ES_tradnl"/>
        </w:rPr>
        <w:t>Ensayos críticos y palabras clave en la literatura latinoamericana</w:t>
      </w: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pt-PT"/>
        </w:rPr>
        <w:t>Docentes: Prof. Dra. Beatriz Colombi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– 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Prof. Dra. Valeria A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ñó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n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Fecha para el dictado: octubre-noviembre 2017 (viernes)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Lugar: Puá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n 480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Carga horaria: 32 horas</w:t>
      </w: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hAnsi="Times New Roman" w:cs="Times New Roman"/>
          <w:b/>
          <w:b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  <w:lang w:val="es-ES_tradnl"/>
        </w:rPr>
        <w:t>Fundamentació</w:t>
      </w: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</w:rPr>
        <w:t>n</w:t>
      </w:r>
    </w:p>
    <w:p w:rsidR="00505D5C" w:rsidRPr="008F04C1" w:rsidRDefault="00505D5C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eastAsia="Times New Roman" w:hAnsi="Times New Roman" w:cs="Times New Roman"/>
          <w:sz w:val="24"/>
          <w:szCs w:val="24"/>
          <w:lang w:val="es-ES_tradnl"/>
        </w:rPr>
        <w:tab/>
        <w:t>A lo largo del siglo XX la cr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ítica latinoamericana desarrolló 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un vasto archivo de t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érminos y herramientas para trabajar y explicar las producciones culturales latinoamericanas emergentes de una sociedad post-conquista. Este dispositivo ha tenido gran movilidad al recibir el aporte de distintas disciplinas, espacios académicos y tendencias teóricas y ha abrevado, </w:t>
      </w:r>
      <w:r w:rsidR="002F4B66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en las últimas décadas</w:t>
      </w:r>
      <w:r w:rsidR="00480A28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</w:t>
      </w:r>
      <w:r w:rsidR="002F4B66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de las </w:t>
      </w:r>
      <w:r w:rsidR="00505D5C"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nuevas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vertientes que propician los estudios coloniales, poscoloniales y culturales en el continente.</w:t>
      </w:r>
    </w:p>
    <w:p w:rsidR="00617F5B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hAnsi="Times New Roman" w:cs="Times New Roman"/>
          <w:sz w:val="24"/>
          <w:szCs w:val="24"/>
          <w:lang w:val="es-ES_tradnl"/>
        </w:rPr>
      </w:pPr>
      <w:r w:rsidRPr="008F04C1">
        <w:rPr>
          <w:rStyle w:val="NingunoA"/>
          <w:rFonts w:ascii="Times New Roman" w:eastAsia="Times New Roman" w:hAnsi="Times New Roman" w:cs="Times New Roman"/>
          <w:sz w:val="24"/>
          <w:szCs w:val="24"/>
          <w:lang w:val="es-ES_tradnl"/>
        </w:rPr>
        <w:tab/>
        <w:t>Alfonso Reyes, Pedro Henr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íquez Ureñ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a</w:t>
      </w:r>
      <w:r w:rsidR="008F04C1">
        <w:rPr>
          <w:rStyle w:val="NingunoA"/>
          <w:rFonts w:ascii="Times New Roman" w:hAnsi="Times New Roman" w:cs="Times New Roman"/>
          <w:sz w:val="24"/>
          <w:szCs w:val="24"/>
        </w:rPr>
        <w:t xml:space="preserve"> y 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Mariano Pic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ón Salas, entre los primeros ensayistas, críticos e historiadores de esta literatura, propusieron categorías </w:t>
      </w:r>
      <w:r w:rsidR="00505D5C"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tales como </w:t>
      </w:r>
      <w:r w:rsidR="00505D5C" w:rsidRPr="008F04C1">
        <w:rPr>
          <w:rStyle w:val="NingunoA"/>
          <w:rFonts w:ascii="Times New Roman" w:hAnsi="Times New Roman" w:cs="Times New Roman"/>
          <w:i/>
          <w:iCs/>
          <w:sz w:val="24"/>
          <w:szCs w:val="24"/>
        </w:rPr>
        <w:t>s</w:t>
      </w:r>
      <w:r w:rsidR="00505D5C"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í</w:t>
      </w:r>
      <w:r w:rsidR="00505D5C" w:rsidRPr="008F04C1">
        <w:rPr>
          <w:rStyle w:val="NingunoA"/>
          <w:rFonts w:ascii="Times New Roman" w:hAnsi="Times New Roman" w:cs="Times New Roman"/>
          <w:i/>
          <w:iCs/>
          <w:sz w:val="24"/>
          <w:szCs w:val="24"/>
        </w:rPr>
        <w:t>ntesis</w:t>
      </w:r>
      <w:r w:rsidR="00505D5C"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, </w:t>
      </w:r>
      <w:r w:rsidR="00505D5C"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fr-FR"/>
        </w:rPr>
        <w:t>fusi</w:t>
      </w:r>
      <w:r w:rsidR="00505D5C"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ó</w:t>
      </w:r>
      <w:r w:rsidR="00505D5C" w:rsidRPr="008F04C1">
        <w:rPr>
          <w:rStyle w:val="NingunoA"/>
          <w:rFonts w:ascii="Times New Roman" w:hAnsi="Times New Roman" w:cs="Times New Roman"/>
          <w:i/>
          <w:iCs/>
          <w:sz w:val="24"/>
          <w:szCs w:val="24"/>
        </w:rPr>
        <w:t>n, mestizaje, trasplante</w:t>
      </w:r>
      <w:r w:rsidR="00505D5C"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="00505D5C"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transculturació</w:t>
      </w:r>
      <w:r w:rsidR="00505D5C" w:rsidRPr="008F04C1">
        <w:rPr>
          <w:rStyle w:val="NingunoA"/>
          <w:rFonts w:ascii="Times New Roman" w:hAnsi="Times New Roman" w:cs="Times New Roman"/>
          <w:i/>
          <w:iCs/>
          <w:sz w:val="24"/>
          <w:szCs w:val="24"/>
        </w:rPr>
        <w:t>n</w:t>
      </w:r>
      <w:r w:rsidR="00505D5C"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para dar cuenta de los complejos procesos de choque, imposición, intercambio y selección que dio por resultado la gestación de una nueva cultura</w:t>
      </w:r>
      <w:r w:rsidR="00505D5C"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12A08"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La </w:t>
      </w:r>
      <w:r w:rsidR="00E12A08" w:rsidRPr="008F04C1">
        <w:rPr>
          <w:rFonts w:ascii="Times New Roman" w:eastAsia="Arial" w:hAnsi="Times New Roman" w:cs="Times New Roman"/>
          <w:sz w:val="24"/>
          <w:szCs w:val="24"/>
        </w:rPr>
        <w:t xml:space="preserve">“generación crítica” de los años 70, con figuras como Ángel </w:t>
      </w:r>
      <w:r w:rsidR="00E12A08" w:rsidRPr="008F04C1">
        <w:rPr>
          <w:rFonts w:ascii="Times New Roman" w:eastAsia="Arial" w:hAnsi="Times New Roman" w:cs="Times New Roman"/>
          <w:sz w:val="24"/>
          <w:szCs w:val="24"/>
          <w:lang w:val="es-ES_tradnl"/>
        </w:rPr>
        <w:t>Rama, Emir Rodríguez Monegal, Antonio Cándido, Noé Jitrik, Rafael Gutiérrez Girardot, entre otros</w:t>
      </w:r>
      <w:r w:rsidR="00617F5B" w:rsidRPr="008F04C1">
        <w:rPr>
          <w:rFonts w:ascii="Times New Roman" w:eastAsia="Arial" w:hAnsi="Times New Roman" w:cs="Times New Roman"/>
          <w:sz w:val="24"/>
          <w:szCs w:val="24"/>
        </w:rPr>
        <w:t>, produce un giro fundamental con el interés centrado en la consolidación de categorías teórico-críticas formuladas desde y para América Latina, aporte que se ha visto enriquecid</w:t>
      </w:r>
      <w:r w:rsidR="00505D5C" w:rsidRPr="008F04C1">
        <w:rPr>
          <w:rFonts w:ascii="Times New Roman" w:eastAsia="Arial" w:hAnsi="Times New Roman" w:cs="Times New Roman"/>
          <w:sz w:val="24"/>
          <w:szCs w:val="24"/>
        </w:rPr>
        <w:t>o</w:t>
      </w:r>
      <w:r w:rsidR="00617F5B" w:rsidRPr="008F04C1">
        <w:rPr>
          <w:rFonts w:ascii="Times New Roman" w:eastAsia="Arial" w:hAnsi="Times New Roman" w:cs="Times New Roman"/>
          <w:sz w:val="24"/>
          <w:szCs w:val="24"/>
        </w:rPr>
        <w:t xml:space="preserve"> por </w:t>
      </w:r>
      <w:r w:rsidR="002F4B66">
        <w:rPr>
          <w:rFonts w:ascii="Times New Roman" w:eastAsia="Arial" w:hAnsi="Times New Roman" w:cs="Times New Roman"/>
          <w:sz w:val="24"/>
          <w:szCs w:val="24"/>
        </w:rPr>
        <w:t xml:space="preserve">diversas </w:t>
      </w:r>
      <w:r w:rsidR="00617F5B" w:rsidRPr="008F04C1">
        <w:rPr>
          <w:rFonts w:ascii="Times New Roman" w:eastAsia="Arial" w:hAnsi="Times New Roman" w:cs="Times New Roman"/>
          <w:sz w:val="24"/>
          <w:szCs w:val="24"/>
        </w:rPr>
        <w:t xml:space="preserve">contribuciones </w:t>
      </w:r>
      <w:r w:rsidR="002F4B66">
        <w:rPr>
          <w:rFonts w:ascii="Times New Roman" w:eastAsia="Arial" w:hAnsi="Times New Roman" w:cs="Times New Roman"/>
          <w:sz w:val="24"/>
          <w:szCs w:val="24"/>
        </w:rPr>
        <w:t>recientes.</w:t>
      </w:r>
    </w:p>
    <w:p w:rsidR="00B12097" w:rsidRPr="008F04C1" w:rsidRDefault="00617F5B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ab/>
      </w:r>
      <w:r w:rsidR="00555824"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E</w:t>
      </w:r>
      <w:r w:rsidR="00505D5C"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l</w:t>
      </w:r>
      <w:r w:rsidR="00555824"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seminario tiene por objetivo reflexionar sobre esta tradición y detenernos en algun</w:t>
      </w:r>
      <w:r w:rsidR="002F4B66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o</w:t>
      </w:r>
      <w:r w:rsidR="00555824"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s </w:t>
      </w:r>
      <w:r w:rsidR="00505D5C"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términos críticos </w:t>
      </w:r>
      <w:r w:rsidR="008F04C1"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esenciales</w:t>
      </w:r>
      <w:r w:rsidR="00555824"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para abordar los textos latinoamericanos, </w:t>
      </w:r>
      <w:r w:rsidR="002F4B66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en particular</w:t>
      </w:r>
      <w:r w:rsidR="00555824"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aquellos producidos en situación colonial o con vestigios de colonialidad, que dieron pie a propuestas superadoras de aná</w:t>
      </w:r>
      <w:r w:rsidR="00555824" w:rsidRPr="008F04C1">
        <w:rPr>
          <w:rStyle w:val="NingunoA"/>
          <w:rFonts w:ascii="Times New Roman" w:hAnsi="Times New Roman" w:cs="Times New Roman"/>
          <w:sz w:val="24"/>
          <w:szCs w:val="24"/>
        </w:rPr>
        <w:t>lisis.</w:t>
      </w:r>
      <w:r w:rsidR="00505D5C"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 </w:t>
      </w:r>
      <w:r w:rsidR="00555824" w:rsidRPr="008F04C1">
        <w:rPr>
          <w:rStyle w:val="NingunoA"/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En este marco, proponemos el </w:t>
      </w:r>
      <w:r w:rsidR="007F6B70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estudio</w:t>
      </w:r>
      <w:r w:rsidR="00555824"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de los conceptos: </w:t>
      </w:r>
      <w:r w:rsidR="00555824"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archivo, heterogeneidad, contrapunteo, transculturació</w:t>
      </w:r>
      <w:r w:rsidR="00555824" w:rsidRPr="008F04C1">
        <w:rPr>
          <w:rStyle w:val="NingunoA"/>
          <w:rFonts w:ascii="Times New Roman" w:hAnsi="Times New Roman" w:cs="Times New Roman"/>
          <w:i/>
          <w:iCs/>
          <w:sz w:val="24"/>
          <w:szCs w:val="24"/>
        </w:rPr>
        <w:t xml:space="preserve">n, malinchismo, arielismo </w:t>
      </w:r>
      <w:r w:rsidR="00555824" w:rsidRPr="008F04C1">
        <w:rPr>
          <w:rStyle w:val="NingunoA"/>
          <w:rFonts w:ascii="Times New Roman" w:hAnsi="Times New Roman" w:cs="Times New Roman"/>
          <w:sz w:val="24"/>
          <w:szCs w:val="24"/>
        </w:rPr>
        <w:t>y</w:t>
      </w:r>
      <w:r w:rsidR="00555824"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calibanismo</w:t>
      </w:r>
      <w:r w:rsidR="00555824"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operativos para explicar manifestaciones, problemas y debates de nuestra historia cultural</w:t>
      </w:r>
      <w:r w:rsidR="007F6B70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en su contexto de emergencia y en relación a un corpus literario representativo del ensayismo crítico y la literatura latinoamericana</w:t>
      </w:r>
      <w:r w:rsidR="00C77DA4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  <w:lang w:val="pt-PT"/>
        </w:rPr>
        <w:t>Objetivos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: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El seminario pretende promover una lectura crí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pt-PT"/>
        </w:rPr>
        <w:t>tica de categor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ías, términos y conceptos de la literatura latinoamericana, especialmente aquellos pensados para dar cuenta de los procesos de colonialidad y sus secuelas en este ámbito cultural. Pretende orientar a los alumnos en el uso de las herramientas críticas, profundizar en los debates de una agenda de </w:t>
      </w:r>
      <w:r w:rsidR="006D7982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los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estudios latinoamericanos y desarrollar competencias para establecer hipótesis de trabajo y elaborar una monografí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pt-PT"/>
        </w:rPr>
        <w:t>a escrita final</w:t>
      </w:r>
      <w:r w:rsidR="006D7982">
        <w:rPr>
          <w:rStyle w:val="NingunoA"/>
          <w:rFonts w:ascii="Times New Roman" w:hAnsi="Times New Roman" w:cs="Times New Roman"/>
          <w:sz w:val="24"/>
          <w:szCs w:val="24"/>
          <w:lang w:val="pt-PT"/>
        </w:rPr>
        <w:t>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  <w:lang w:val="es-ES_tradnl"/>
        </w:rPr>
        <w:lastRenderedPageBreak/>
        <w:t>Metodología, modalidad de evaluación y requisitos de aprobació</w:t>
      </w: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</w:rPr>
        <w:t>n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La metodologí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a del seminario consistir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á en exposiciones a cargo de los profesores y de los alumnos, además de la discusión grupal de los textos críticos y literarios asignados para cada reunión. La evaluación consistirá en una monografía sobre los temas teó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rico-cr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íticos y literarios discutidos, previa presentación de un breve proyecto. Es requisito para la aprobación la asistencia a las reuniones del seminario, con un mínimo del 80%, y la entrega de la monografía final, de acuerdo a los plazos estipulados por la maestrí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a.</w:t>
      </w: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  <w:lang w:val="es-ES_tradnl"/>
        </w:rPr>
        <w:t>Contenidos</w:t>
      </w: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  <w:lang w:val="es-ES_tradnl"/>
        </w:rPr>
        <w:t>Unidad 1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La configuración de un archivo del saber crítico. Los conceptos y palabras clave en la disciplina. Los diccionarios de términos y la discusión de la agenda de los estudios literarios latinoamericanos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.</w:t>
      </w: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</w:rPr>
        <w:t>Bibliograf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í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fr-FR"/>
        </w:rPr>
        <w:t>a cr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í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</w:rPr>
        <w:t>tica</w:t>
      </w:r>
    </w:p>
    <w:p w:rsidR="00B12097" w:rsidRPr="008F04C1" w:rsidRDefault="00555824">
      <w:pPr>
        <w:pStyle w:val="Prrafodelista"/>
        <w:spacing w:after="0" w:line="240" w:lineRule="auto"/>
        <w:ind w:left="0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Altamirano, Carlos; Sarlo, Beatriz,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Conceptos de sociología literaria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Buenos Aires, Centro Editor de América Latina, 1980.</w:t>
      </w:r>
    </w:p>
    <w:p w:rsidR="00B12097" w:rsidRPr="008F04C1" w:rsidRDefault="00555824">
      <w:pPr>
        <w:pStyle w:val="Prrafodelista"/>
        <w:spacing w:after="0" w:line="240" w:lineRule="auto"/>
        <w:ind w:left="0"/>
        <w:jc w:val="both"/>
        <w:rPr>
          <w:rStyle w:val="NingunoA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Altamirano, Carlos (Dir.),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Términos críticos de sociología de la cultura,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Buenos Aires, Paidós, 2002.</w:t>
      </w:r>
    </w:p>
    <w:p w:rsidR="00B12097" w:rsidRPr="008F04C1" w:rsidRDefault="00555824">
      <w:pPr>
        <w:pStyle w:val="Prrafodelista"/>
        <w:spacing w:after="0" w:line="240" w:lineRule="auto"/>
        <w:ind w:left="0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Szurmuk, Mónica; Irwin, Robert,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Diccionario de estudios culturales latinoamericanos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México, Siglo XXI Editores, 2009.</w:t>
      </w: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</w:pP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  <w:lang w:val="es-ES_tradnl"/>
        </w:rPr>
        <w:t>Unidad 2</w:t>
      </w:r>
    </w:p>
    <w:p w:rsidR="00C77DA4" w:rsidRPr="008F04C1" w:rsidRDefault="00555824" w:rsidP="00C77DA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Archivo y archivo latinoamericano: descentramiento, dislocación, fragmentación. </w:t>
      </w:r>
      <w:r w:rsidR="00C77DA4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Debates entre el c</w:t>
      </w:r>
      <w:r w:rsidR="00C77DA4"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anon y </w:t>
      </w:r>
      <w:r w:rsidR="00C77DA4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="00C77DA4"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corpus. En los márgenes del archivo: escritos de mujeres en la colonia. Tradiciones discursivas, géneros y epístola: los territorios de una escritura femenina. En los bordes del archivo sorjuanino: nuevos documentos, viejas disputas. Materialidad, investigación literaria y figuras de autor.</w:t>
      </w:r>
    </w:p>
    <w:p w:rsidR="00C77DA4" w:rsidRPr="008F04C1" w:rsidRDefault="00C77DA4" w:rsidP="00C77DA4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</w:pPr>
    </w:p>
    <w:p w:rsidR="00C77DA4" w:rsidRPr="008F04C1" w:rsidRDefault="00C77DA4" w:rsidP="00C77DA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Lecturas</w:t>
      </w:r>
    </w:p>
    <w:p w:rsidR="00C77DA4" w:rsidRPr="008F04C1" w:rsidRDefault="00C77DA4" w:rsidP="00C77DA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Antología de cartas y documentos de mujeres en la colonia</w:t>
      </w:r>
      <w:r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C77DA4" w:rsidRPr="008F04C1" w:rsidRDefault="00C77DA4" w:rsidP="00C77DA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Cartas de sor Juana y su entorno (Carta de Monterrey, Cartas de su mecenas)</w:t>
      </w:r>
      <w:r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C77DA4" w:rsidRPr="008F04C1" w:rsidRDefault="00C77DA4" w:rsidP="00C77DA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Jitrik, </w:t>
      </w:r>
      <w:r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Noé, "Canónica, regulatoria y transgresiva".</w:t>
      </w:r>
    </w:p>
    <w:p w:rsidR="00C77DA4" w:rsidRPr="008F04C1" w:rsidRDefault="00C77DA4" w:rsidP="00C77DA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de-DE"/>
        </w:rPr>
        <w:t>Mbembe, Achille, "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El poder del archivo y sus límites”.</w:t>
      </w:r>
    </w:p>
    <w:p w:rsidR="00C77DA4" w:rsidRPr="008F04C1" w:rsidRDefault="00C77DA4" w:rsidP="00C77DA4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Zanetti, Susana,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“¿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Un canon necesario? Acerca del canon literario latinoamericano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”</w:t>
      </w:r>
      <w:r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C77DA4" w:rsidRDefault="00C77DA4">
      <w:pPr>
        <w:pStyle w:val="Cuerpo"/>
        <w:spacing w:after="0" w:line="240" w:lineRule="auto"/>
        <w:jc w:val="both"/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Bibliografía crítica</w:t>
      </w:r>
    </w:p>
    <w:p w:rsidR="00B12097" w:rsidRDefault="00555824">
      <w:pPr>
        <w:pStyle w:val="Cuerpo"/>
        <w:spacing w:after="0" w:line="240" w:lineRule="auto"/>
        <w:jc w:val="both"/>
        <w:rPr>
          <w:rStyle w:val="NingunoA"/>
          <w:rFonts w:ascii="Times New Roman" w:hAnsi="Times New Roman" w:cs="Times New Roman"/>
          <w:sz w:val="24"/>
          <w:szCs w:val="24"/>
          <w:lang w:val="es-ES_tradnl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</w:rPr>
        <w:t>A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ñó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n, Valeria,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“Los usos del archivo: reflexiones situadas sobre literatura y discurso colonial”, en Frida Gorbach y Mario Rufer (coords.),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Indisciplinar la investigación. Archivo, trabajo de campo y escritura, 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M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éxico, UAM Xochimilco/Siglo XXI Editores, 2016, pp. 251-274.</w:t>
      </w:r>
    </w:p>
    <w:p w:rsidR="00961216" w:rsidRPr="008F04C1" w:rsidRDefault="00961216" w:rsidP="00961216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Colombi, Beatriz, “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Fama, pasi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ón y razón en la carta de Monterrey de sor Juana Inés de la Cruz”, San Pablo,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</w:rPr>
        <w:t>Caracol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 n. 10</w:t>
      </w:r>
      <w:r w:rsidR="00813844">
        <w:rPr>
          <w:rStyle w:val="NingunoA"/>
          <w:rFonts w:ascii="Times New Roman" w:hAnsi="Times New Roman" w:cs="Times New Roman"/>
          <w:sz w:val="24"/>
          <w:szCs w:val="24"/>
        </w:rPr>
        <w:t xml:space="preserve">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(jul-d</w:t>
      </w:r>
      <w:r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ic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2015), 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pp. 240-263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Colombi, Beatriz, "Sobre cartas y lectoras. Dos misivas iné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pt-PT"/>
        </w:rPr>
        <w:t>ditas de Mar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ía Luisa Manrique de Lara y Gonzaga, mecenas de sor Juana Inés de la Cruz”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fr-FR"/>
        </w:rPr>
        <w:t xml:space="preserve">, en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Actas del IX Congreso Internacional Orbis Tertius de Teoría y Crítica Literaria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Universidad Nacional de La Plata, 2016.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Chartier, Roger. “Los secretarios. Modelos y práctica epistolares”, en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Libros, lecturas y lectores en la edad moderna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Madrid, Alianza, 1994.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fr-FR"/>
        </w:rPr>
        <w:t xml:space="preserve">Derrida, Jacques,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Mal de archivo, 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Madrid, Trotta, 2000. 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fr-FR"/>
        </w:rPr>
        <w:t xml:space="preserve">Farge, Arlette,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La atracción del archivo, 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trad. Anna Montero, Par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ís, Editions</w:t>
      </w:r>
      <w:r w:rsidR="00813844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Alfons el Má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gnanim, IVEI, 1991. 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fr-FR"/>
        </w:rPr>
        <w:t xml:space="preserve">Foucault, Michel,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Arqueología del saber, 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trad. Aurelio Garz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ó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n, M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éxico, Siglo XXI Editores, 2000 (selecció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n).</w:t>
      </w:r>
    </w:p>
    <w:p w:rsidR="00B12097" w:rsidRDefault="00555824">
      <w:pPr>
        <w:pStyle w:val="Cuerpo"/>
        <w:spacing w:after="0" w:line="240" w:lineRule="auto"/>
        <w:jc w:val="both"/>
        <w:rPr>
          <w:rStyle w:val="NingunoA"/>
          <w:rFonts w:ascii="Times New Roman" w:hAnsi="Times New Roman" w:cs="Times New Roman"/>
          <w:sz w:val="24"/>
          <w:szCs w:val="24"/>
          <w:lang w:val="pt-PT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</w:rPr>
        <w:t>Gonz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ález Echevarrí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a, Roberto,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Mito y archivo, 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M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é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pt-PT"/>
        </w:rPr>
        <w:t>xico, FCE, 2000.</w:t>
      </w:r>
    </w:p>
    <w:p w:rsidR="006D7982" w:rsidRPr="006D7982" w:rsidRDefault="006D7982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Jitrik, </w:t>
      </w:r>
      <w:r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Noé, "Canónica, regulatoria y transgresiva", </w:t>
      </w:r>
      <w:r w:rsidRPr="006D7982">
        <w:rPr>
          <w:rStyle w:val="NingunoA"/>
          <w:rFonts w:ascii="Times New Roman" w:hAnsi="Times New Roman" w:cs="Times New Roman"/>
          <w:i/>
          <w:sz w:val="24"/>
          <w:szCs w:val="24"/>
          <w:lang w:val="es-ES_tradnl"/>
        </w:rPr>
        <w:t>Orbis Tertius</w:t>
      </w:r>
      <w:r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año 1, núm. 1, 1996</w:t>
      </w:r>
      <w:r w:rsidR="00813844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961216" w:rsidRPr="006C4680" w:rsidRDefault="00961216" w:rsidP="00961216">
      <w:pPr>
        <w:pStyle w:val="Cuerpo"/>
        <w:spacing w:after="0" w:line="240" w:lineRule="auto"/>
        <w:jc w:val="both"/>
        <w:rPr>
          <w:rStyle w:val="NingunoA"/>
          <w:rFonts w:ascii="Times New Roman" w:hAnsi="Times New Roman" w:cs="Times New Roman"/>
          <w:sz w:val="24"/>
          <w:szCs w:val="24"/>
          <w:lang w:val="es-ES_tradnl"/>
        </w:rPr>
      </w:pPr>
      <w:r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Jitrik, Noé, </w:t>
      </w:r>
      <w:r>
        <w:rPr>
          <w:rStyle w:val="NingunoA"/>
          <w:rFonts w:ascii="Times New Roman" w:hAnsi="Times New Roman" w:cs="Times New Roman"/>
          <w:i/>
          <w:sz w:val="24"/>
          <w:szCs w:val="24"/>
          <w:lang w:val="es-ES_tradnl"/>
        </w:rPr>
        <w:t xml:space="preserve">Los grados de la escritura, </w:t>
      </w:r>
      <w:r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Buenos Aires, Manantial, 2000.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nl-NL"/>
        </w:rPr>
        <w:t>Mbembe, Achille. "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El poder del archivo y sus límites".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n-US"/>
        </w:rPr>
        <w:t xml:space="preserve">En Hamilton C., V. Harris, J. Taylor, M. Pickover, G. Reid y R. Saleh (Ed.)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"/>
        </w:rPr>
        <w:t>Refiguringthe Archive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Ciudad del Cabo, David Philip Publishers. Mimeo, traducción de Carla Fumagalli</w:t>
      </w:r>
      <w:r w:rsidR="00813844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Otte, Enrique,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Cartas privadas de emigrantes a Indias, 1540-1610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, México, </w:t>
      </w:r>
      <w:r w:rsidR="00961216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FCE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1996.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Rufer, Mario, “El archivo: de la metáfora extractiva a la ruptura poscolonial”, en Frida Gorbach y Mario Rufer (coords.),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Indisciplinar la investigación, op.cit.,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pp. 160-186.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</w:rPr>
        <w:t>S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ánchez, Rubio Rocío y Testó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"/>
        </w:rPr>
        <w:t>n N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úñez, Isabel,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El hilo que une. Las relaciones epistolares en el Viejo y el Nuevo Mundo, siglos XVI-XVIII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, M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érida, Universidad de Extremadura, 1999.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Stangl, Werner (ed.),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Zwischen Authentizitätund Fiktion: Die Private Korrespondenzspanischer Emigrantenaus Amerika, 1492-1824 (Suplemento electrónico: edición de las cartas de llamada)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, Koln, Weimar, Vien, Böhlau, 2012. Accesible en </w:t>
      </w:r>
      <w:hyperlink r:id="rId6" w:history="1">
        <w:r w:rsidRPr="008F04C1">
          <w:rPr>
            <w:rStyle w:val="Hyperlink0"/>
            <w:rFonts w:eastAsia="Calibri"/>
            <w:sz w:val="24"/>
            <w:szCs w:val="24"/>
          </w:rPr>
          <w:t>www.bohlauverlag.com</w:t>
        </w:r>
      </w:hyperlink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Zanetti, Susana,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“¿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Un canon necesario? Acerca del canon literario latinoamericano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”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fr-FR"/>
        </w:rPr>
        <w:t xml:space="preserve">, en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Voz y escritura, 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10, 2000, pp. 227-241.</w:t>
      </w:r>
    </w:p>
    <w:p w:rsidR="00B12097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4FF" w:rsidRPr="008F04C1" w:rsidRDefault="00BF14FF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  <w:lang w:val="es-ES_tradnl"/>
        </w:rPr>
        <w:t>Unidad 3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Heterogeneidad. Antonio Cornejo Polar: formulaciones y reformulaciones del concepto de heterogeneidad. El caso del Inca Garcilaso de la Vega y su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Historia General del Perú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 Autoridad, legitimación, autoría. La construcción de una voz en la encrucijada de la “armonía imposible”.</w:t>
      </w: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Lectura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Cornejo Polar, Antonio (selección de ensayos).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Garcilaso de la Vega, Inca,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Historia General del Perú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(selección).</w:t>
      </w: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Bibliografía crítica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Añon, Valeria, “La tematización de la memoria en las crónicas mestizas”, en Clementina Battcock y Sergio Botta (eds.),</w:t>
      </w:r>
      <w:r w:rsidR="00813844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Acerca de la (des)memoria y su construcción en Mesoamérica y los Andes,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México, Quivira, 2015, pp.3-19.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Colombi, Beatriz, "Del reinar al vasallaje: armonía y despojos en los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Comentarios Reales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",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Cuadernos Americanos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 157 (M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é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pt-PT"/>
        </w:rPr>
        <w:t>xico, 2016/3), pp. 51-62.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Cornejo Polar, Antonio, “El indigenismo y las literaturas heterogéneas: Su doble estatuto socio-cultural”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fr-FR"/>
        </w:rPr>
        <w:t xml:space="preserve">, en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pt-PT"/>
        </w:rPr>
        <w:t>Revista de Cr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ítica Literaria Latinoamericana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, a. 4, No. 7/8, 1978, pp. 7-21.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Cornejo Polar, Antonio,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Escribir en el aire. Ensayos sobre la heterogeneidad socio-cultural en las literaturas andinas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Lima, Horizonte, 1994</w:t>
      </w:r>
      <w:r w:rsidR="006D7982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González Echeverría, R., "La ley de la letra: los 'comentarios' de Garcilaso", en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Mito y archivo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op.cit.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Rodríguez Garrido, José Antonio, “La cita de los cronistas españoles como recurso argumentativo en la segunda parte de los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Comentarios Reales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”,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Lexis,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XVII-1 (1993): 93-114.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Rodríguez Garrido, José Antonio, “’Como hombre venido del cielo’: la representación del padre del Inca Garcilaso en los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Comentarios Reales”,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en Karl Kohut y Sonia V. Rose (eds.),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La formación de la cultura virreinal, vol. I,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Madrid/Frankfurt, Iberoamericana/Vervuert, 2000, pp. 404-422.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Zanelli, Carmela, "Formas e ideas de lo trágico en la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Historia general del Perú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del Inca Garcilaso", en 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Teodoro Hampe Mart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ínez,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</w:rPr>
        <w:t>La tradici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ó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fr-FR"/>
        </w:rPr>
        <w:t>n cl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ásica en el Perú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nl-NL"/>
        </w:rPr>
        <w:t>virreinal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Lima, Sociedad Peruana de Estudios Clásicos, Universidad Nacional Mayor de San Marcos (UNMSM), Fondo Editorial, 1999</w:t>
      </w:r>
      <w:r w:rsidR="00961216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12097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BF14FF" w:rsidRPr="008F04C1" w:rsidRDefault="00BF14FF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  <w:lang w:val="es-ES_tradnl"/>
        </w:rPr>
        <w:t>Unidad 4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Malinchismo y representación femenina. Del malinchismo al neplantismo. Configuraciones de la identidad (nacional), historia y usos del pasado. Entre el silencio (de Malinche) y sobrerrepresentación de su figura. Polémicas, disputas, revisiones: códices, crónicas, ensayo, ficción. </w:t>
      </w: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Lecturas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Bernal Díaz del Castillo,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Historia verdadera de la conquista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(selección).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Paz, Octavio, "Los hijos de la Malinche" en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El laberinto de la soledad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(selección).</w:t>
      </w:r>
    </w:p>
    <w:p w:rsidR="00961216" w:rsidRPr="008F04C1" w:rsidRDefault="00961216" w:rsidP="00961216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Glantz, Margo,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La Malinche, sus padres y sus hijos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(selecció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n)</w:t>
      </w:r>
      <w:r>
        <w:rPr>
          <w:rStyle w:val="NingunoA"/>
          <w:rFonts w:ascii="Times New Roman" w:hAnsi="Times New Roman" w:cs="Times New Roman"/>
          <w:sz w:val="24"/>
          <w:szCs w:val="24"/>
        </w:rPr>
        <w:t>.</w:t>
      </w:r>
    </w:p>
    <w:p w:rsidR="00961216" w:rsidRPr="008F04C1" w:rsidRDefault="00961216" w:rsidP="00961216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Castellanos, Rosario, "Malinche"</w:t>
      </w:r>
      <w:r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Bibliografía crítica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Anzaldúa, Gloria,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Borderlands/La Frontera.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New Mestiza,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n-US"/>
        </w:rPr>
        <w:t xml:space="preserve">San Francisco: Aunt Lute, 1987. 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Añón, Valeria, “La Malinche de las crónicas”, en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La palabra despierta. Tramas de la identidad y usos del pasado en crónicas de la conquista de México,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Buenos Aires, Corregidor, 2012, pp. 118-134.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Castellanos, Rosario, “Malinche”, en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Poesía no eres tú. Obra poética 1948/1971,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México, FCE, 1972. 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Glantz, Margo,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La Malinche, sus padres y sus hijos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México, Taurus, 2001.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Echeverría, Bolívar, “Malintzin, la lengua” en Margo Glantz,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La Malinche, op.cit. 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Krauze, Enrique, “La soledad del laberinto”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Letras Libres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, Oct.; 2 (22), 2000, pp. 20-27.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n-US"/>
        </w:rPr>
        <w:t xml:space="preserve">Messinger Cypress, Sandra,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La Malinche in Mexican Literature,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n-US"/>
        </w:rPr>
        <w:t>Austin, Texas UP, 1991.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"/>
        </w:rPr>
        <w:t xml:space="preserve">Mermall, Thomas,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“El laberinto de la soledad y el psicoanálisis de la historia”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Cuadernos Americanos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, a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ño 27, vol. 156, enero-febrero de 1958, pp. 97-114.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"/>
        </w:rPr>
        <w:t>Monsiv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áis, Carlos, “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El laberinto de la soledad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el juego de espejos de los mitos y las realidades”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, en Octavio Paz,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El laberinto de la soledad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, Edici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ón conmemorativa, op.cit.</w:t>
      </w:r>
    </w:p>
    <w:p w:rsidR="008F14FF" w:rsidRPr="008F04C1" w:rsidRDefault="008F14FF" w:rsidP="008F14FF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"/>
        </w:rPr>
        <w:t>Monsiv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áis, Carlos, “La malinche y el malinchismo” 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en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Margo Glantz,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La Malinche, sus padres y sus hijos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</w:t>
      </w:r>
      <w:r w:rsidRPr="00C3428D">
        <w:rPr>
          <w:rStyle w:val="NingunoA"/>
          <w:rFonts w:ascii="Times New Roman" w:hAnsi="Times New Roman" w:cs="Times New Roman"/>
          <w:i/>
          <w:sz w:val="24"/>
          <w:szCs w:val="24"/>
          <w:lang w:val="es-ES_tradnl"/>
        </w:rPr>
        <w:t>op.cit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8F14FF" w:rsidRPr="008F04C1" w:rsidRDefault="008F14FF" w:rsidP="008F14FF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Paz, Octavio,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El laberinto de la soledad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México, FCE, 1950.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pt-PT"/>
        </w:rPr>
        <w:t>Sant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í, Marcos Enrico, "Introducció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"/>
        </w:rPr>
        <w:t xml:space="preserve">n a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El laberinto de la soledad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" en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El acto de las palabras, Estudios y Diálogos con Octavio Paz, 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M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é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pt-PT"/>
        </w:rPr>
        <w:t>xico, Fondo de Cultura Econ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ó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mica, 1997.</w:t>
      </w:r>
    </w:p>
    <w:p w:rsidR="00BF14FF" w:rsidRDefault="00BF14FF">
      <w:pPr>
        <w:pStyle w:val="Cuerpo"/>
        <w:spacing w:after="0" w:line="240" w:lineRule="auto"/>
        <w:jc w:val="both"/>
        <w:rPr>
          <w:rStyle w:val="NingunoA"/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  <w:lang w:val="es-ES_tradnl"/>
        </w:rPr>
        <w:lastRenderedPageBreak/>
        <w:t>Unidad 5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Contrapunteo y transculturación. Fernando Ortiz y Ángel Rama. Otredad, raza, racialismo y el aporte de los estudios culturales. Entre la identidad, la alteridad y la etnicidad: recorridos críticos, polémicas, subjetividades en disputa.</w:t>
      </w: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Lecturas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Ortiz, Fernando,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Contrapunteo cubano del tabaco y el azúcar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(selección)</w:t>
      </w:r>
      <w:r w:rsidR="008F14FF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Rama,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Á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ngel,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Transculturación narrativa en Amé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</w:rPr>
        <w:t>rica Latina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(selecció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n)</w:t>
      </w:r>
      <w:r w:rsidR="008F14FF">
        <w:rPr>
          <w:rStyle w:val="NingunoA"/>
          <w:rFonts w:ascii="Times New Roman" w:hAnsi="Times New Roman" w:cs="Times New Roman"/>
          <w:sz w:val="24"/>
          <w:szCs w:val="24"/>
        </w:rPr>
        <w:t>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Arguedas,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Los ríos profundos</w:t>
      </w:r>
      <w:r w:rsidR="008F14FF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.</w:t>
      </w: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Bibliografía crítica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</w:rPr>
        <w:t>A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ñó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n, Valeria,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“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pt-PT"/>
        </w:rPr>
        <w:t>Subjetividades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”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de-DE"/>
        </w:rPr>
        <w:t>en M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ónica Szurmuk y Robert McKeeIrwin,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Diccionario de Estudios Culturales Latinoamericanos, op.cit. 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</w:rPr>
        <w:t>Ben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ítez Rojo, Antonio,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La isla que se repite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Barcelona, Casiopea, 1998.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González Echevarría, R., "El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contrapunteo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y la literatura",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La Gaceta de Cuba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2 (mayo-abril 1996): 23-26</w:t>
      </w:r>
      <w:r w:rsidR="008F14FF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Hall, Stuart, "El espectáculo del otro", en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Sin garantías: trayectorias y problemáticas en estudios culturales",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Ecuador, Universidad Andina Simón Bolívar.</w:t>
      </w:r>
    </w:p>
    <w:p w:rsidR="008F14FF" w:rsidRDefault="00555824">
      <w:pPr>
        <w:pStyle w:val="Cuerpo"/>
        <w:spacing w:after="0" w:line="240" w:lineRule="auto"/>
        <w:jc w:val="both"/>
        <w:rPr>
          <w:rStyle w:val="NingunoA"/>
          <w:rFonts w:ascii="Times New Roman" w:hAnsi="Times New Roman" w:cs="Times New Roman"/>
          <w:sz w:val="24"/>
          <w:szCs w:val="24"/>
          <w:lang w:val="pt-PT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Hall, Stuart, “¿Quién necesita identidad?”, en Stuart Hall y P. Dugay (comps.),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Cuestiones de identidad cultural,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pt-PT"/>
        </w:rPr>
        <w:t>Buenos Aires, Amorrortu, 2003, pp. 13-39.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pt-PT"/>
        </w:rPr>
        <w:t xml:space="preserve">Rama,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Á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ngel,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Transculturación narrativa en Amé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</w:rPr>
        <w:t>rica Latina</w:t>
      </w:r>
      <w:r w:rsidR="008F14FF">
        <w:rPr>
          <w:rStyle w:val="NingunoA"/>
          <w:rFonts w:ascii="Times New Roman" w:hAnsi="Times New Roman" w:cs="Times New Roman"/>
          <w:sz w:val="24"/>
          <w:szCs w:val="24"/>
        </w:rPr>
        <w:t>,</w:t>
      </w:r>
      <w:r w:rsidR="00813844">
        <w:rPr>
          <w:rStyle w:val="NingunoA"/>
          <w:rFonts w:ascii="Times New Roman" w:hAnsi="Times New Roman" w:cs="Times New Roman"/>
          <w:sz w:val="24"/>
          <w:szCs w:val="24"/>
        </w:rPr>
        <w:t xml:space="preserve"> 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M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é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xico</w:t>
      </w:r>
      <w:r w:rsidR="00813844">
        <w:rPr>
          <w:rStyle w:val="NingunoA"/>
          <w:rFonts w:ascii="Times New Roman" w:hAnsi="Times New Roman" w:cs="Times New Roman"/>
          <w:sz w:val="24"/>
          <w:szCs w:val="24"/>
        </w:rPr>
        <w:t xml:space="preserve">, 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Siglo </w:t>
      </w:r>
      <w:r w:rsidR="008F14FF">
        <w:rPr>
          <w:rStyle w:val="NingunoA"/>
          <w:rFonts w:ascii="Times New Roman" w:hAnsi="Times New Roman" w:cs="Times New Roman"/>
          <w:sz w:val="24"/>
          <w:szCs w:val="24"/>
        </w:rPr>
        <w:t>XXI Editores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>, 1982.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Rojas, Rafael. "Contra el homo cubensis: Transculturación y nacionalismo en la obra de Fernando Ortiz",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de-DE"/>
        </w:rPr>
        <w:t>Cuban Studies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 35 (2004): 1-23.</w:t>
      </w: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b/>
          <w:bCs/>
          <w:sz w:val="24"/>
          <w:szCs w:val="24"/>
          <w:lang w:val="es-ES_tradnl"/>
        </w:rPr>
        <w:t>Unidad 6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Arielismo y calibanismo, ficciones enunciativas y autofiguraciones del latinoamericanismo. </w:t>
      </w: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Lecturas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Rodó, Enrique.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Ariel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(selección)</w:t>
      </w:r>
      <w:r w:rsidR="00480A28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Darío, Rubén, "El triunfo de Calibán"</w:t>
      </w:r>
      <w:r w:rsidR="00480A28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Fernández Retamar,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Calibán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 (selección)</w:t>
      </w:r>
      <w:r w:rsidR="00480A28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12097" w:rsidRPr="008F04C1" w:rsidRDefault="00B12097">
      <w:pPr>
        <w:pStyle w:val="Cuerpo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ES_tradnl"/>
        </w:rPr>
      </w:pP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Bibliografía crítica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Colombi, Beatriz, “El triunfo de Calibán y el discurso latino”, en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Viaje intelectual, migraciones y desplazamientos en América Latina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Rosario, Beatriz Viterbo, 2004.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Colombi, Beatriz. “Representaciones del ensayista”</w:t>
      </w:r>
      <w:r w:rsidRPr="008F04C1">
        <w:rPr>
          <w:rStyle w:val="NingunoA"/>
          <w:rFonts w:ascii="Times New Roman" w:hAnsi="Times New Roman" w:cs="Times New Roman"/>
          <w:sz w:val="24"/>
          <w:szCs w:val="24"/>
        </w:rPr>
        <w:t xml:space="preserve">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The Colorado Review of Hispanic Studies 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pt-PT"/>
        </w:rPr>
        <w:t>(Colorado University, USA), Volume 5 (2007), pp. 25-34</w:t>
      </w:r>
      <w:r w:rsidR="00480A28">
        <w:rPr>
          <w:rStyle w:val="NingunoA"/>
          <w:rFonts w:ascii="Times New Roman" w:hAnsi="Times New Roman" w:cs="Times New Roman"/>
          <w:sz w:val="24"/>
          <w:szCs w:val="24"/>
          <w:lang w:val="pt-PT"/>
        </w:rPr>
        <w:t>.</w:t>
      </w:r>
    </w:p>
    <w:p w:rsidR="00480A28" w:rsidRDefault="00555824">
      <w:pPr>
        <w:pStyle w:val="Cuerpo"/>
        <w:spacing w:after="0" w:line="240" w:lineRule="auto"/>
        <w:jc w:val="both"/>
        <w:rPr>
          <w:rStyle w:val="NingunoA"/>
          <w:rFonts w:ascii="Times New Roman" w:hAnsi="Times New Roman" w:cs="Times New Roman"/>
          <w:sz w:val="24"/>
          <w:szCs w:val="24"/>
          <w:lang w:val="es-ES_tradnl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Fernández Retamar, Roberto,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Todo Calib</w:t>
      </w:r>
      <w:r w:rsidR="00480A28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á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n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Buenos Aires, Clacso, 2005.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Jáuregui, Carlos, "Los monstruos del latinoamericanismo arielista: variaciones del apetito en la periferia (neo)colonial", </w:t>
      </w:r>
      <w:r w:rsidR="00813844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en </w:t>
      </w:r>
      <w:r w:rsidR="00480A28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C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alibanismo, antropofagia cultural y consumo en Amé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</w:rPr>
        <w:t>rica Latina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Madrid, Iberoamericana, Vervuert, 2008</w:t>
      </w:r>
      <w:r w:rsidR="00813844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Moraña, Mabel, “Modernidad arielista y postmodernidad calibanesca”, en Ottmar Ette,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José Enrique Rodó y su tiempo. Cien años de Ariel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Madrid, Iberoamericana, 2000.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Style w:val="NingunoA"/>
          <w:rFonts w:ascii="Times New Roman" w:eastAsia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Ponce, Aníbal, “Ariel o la agonía de una obstinada ilusión”, en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Humanismo burgués y humanismo proletario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México, Cartago, 1981, pp. 51-67.</w:t>
      </w:r>
    </w:p>
    <w:p w:rsidR="00B12097" w:rsidRPr="008F04C1" w:rsidRDefault="00555824">
      <w:pPr>
        <w:pStyle w:val="Cuerp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 xml:space="preserve">Real de Azúa, Carlos, “Prólogo a Ariel”, en José Enrique Rodó, </w:t>
      </w:r>
      <w:r w:rsidRPr="008F04C1">
        <w:rPr>
          <w:rStyle w:val="NingunoA"/>
          <w:rFonts w:ascii="Times New Roman" w:hAnsi="Times New Roman" w:cs="Times New Roman"/>
          <w:i/>
          <w:iCs/>
          <w:sz w:val="24"/>
          <w:szCs w:val="24"/>
          <w:lang w:val="es-ES_tradnl"/>
        </w:rPr>
        <w:t>Ariel. Motivos de Proteo</w:t>
      </w:r>
      <w:r w:rsidRPr="008F04C1">
        <w:rPr>
          <w:rStyle w:val="NingunoA"/>
          <w:rFonts w:ascii="Times New Roman" w:hAnsi="Times New Roman" w:cs="Times New Roman"/>
          <w:sz w:val="24"/>
          <w:szCs w:val="24"/>
          <w:lang w:val="es-ES_tradnl"/>
        </w:rPr>
        <w:t>, Caracas, Ayacucho, 1976, pp. IX-XXXI.</w:t>
      </w:r>
    </w:p>
    <w:sectPr w:rsidR="00B12097" w:rsidRPr="008F04C1" w:rsidSect="00B12097">
      <w:pgSz w:w="11900" w:h="16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B3D" w:rsidRDefault="00BD2B3D" w:rsidP="00B12097">
      <w:r>
        <w:separator/>
      </w:r>
    </w:p>
  </w:endnote>
  <w:endnote w:type="continuationSeparator" w:id="1">
    <w:p w:rsidR="00BD2B3D" w:rsidRDefault="00BD2B3D" w:rsidP="00B12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B3D" w:rsidRDefault="00BD2B3D" w:rsidP="00B12097">
      <w:r>
        <w:separator/>
      </w:r>
    </w:p>
  </w:footnote>
  <w:footnote w:type="continuationSeparator" w:id="1">
    <w:p w:rsidR="00BD2B3D" w:rsidRDefault="00BD2B3D" w:rsidP="00B12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2097"/>
    <w:rsid w:val="001A14F7"/>
    <w:rsid w:val="002F4B66"/>
    <w:rsid w:val="00480A28"/>
    <w:rsid w:val="00505D5C"/>
    <w:rsid w:val="00555824"/>
    <w:rsid w:val="00617F5B"/>
    <w:rsid w:val="006750D0"/>
    <w:rsid w:val="006D46E5"/>
    <w:rsid w:val="006D7982"/>
    <w:rsid w:val="007F6B70"/>
    <w:rsid w:val="00813844"/>
    <w:rsid w:val="008F04C1"/>
    <w:rsid w:val="008F14FF"/>
    <w:rsid w:val="00961216"/>
    <w:rsid w:val="00AE2680"/>
    <w:rsid w:val="00B12097"/>
    <w:rsid w:val="00BD2B3D"/>
    <w:rsid w:val="00BE71D5"/>
    <w:rsid w:val="00BF14FF"/>
    <w:rsid w:val="00C77DA4"/>
    <w:rsid w:val="00E12A08"/>
    <w:rsid w:val="00E2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2097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12097"/>
    <w:rPr>
      <w:u w:val="single"/>
    </w:rPr>
  </w:style>
  <w:style w:type="table" w:customStyle="1" w:styleId="TableNormal">
    <w:name w:val="Table Normal"/>
    <w:rsid w:val="00B120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B1209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sid w:val="00B1209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character" w:customStyle="1" w:styleId="NingunoA">
    <w:name w:val="Ninguno A"/>
    <w:rsid w:val="00B12097"/>
    <w:rPr>
      <w:lang w:val="it-IT"/>
    </w:rPr>
  </w:style>
  <w:style w:type="paragraph" w:styleId="Prrafodelista">
    <w:name w:val="List Paragraph"/>
    <w:rsid w:val="00B1209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uerpoA">
    <w:name w:val="Cuerpo A"/>
    <w:rsid w:val="00B12097"/>
    <w:rPr>
      <w:rFonts w:ascii="Helvetica" w:hAnsi="Helvetica" w:cs="Arial Unicode MS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NingunoA"/>
    <w:rsid w:val="00B12097"/>
    <w:rPr>
      <w:rFonts w:ascii="Times New Roman" w:eastAsia="Times New Roman" w:hAnsi="Times New Roman" w:cs="Times New Roman"/>
      <w:color w:val="0000FF"/>
      <w:u w:val="single"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A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A0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hlauverla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2118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</cp:revision>
  <dcterms:created xsi:type="dcterms:W3CDTF">2017-03-01T19:57:00Z</dcterms:created>
  <dcterms:modified xsi:type="dcterms:W3CDTF">2017-03-02T20:17:00Z</dcterms:modified>
</cp:coreProperties>
</file>