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hanging="0" w:left="-709" w:right="-568"/>
        <w:jc w:val="center"/>
      </w:pPr>
      <w:r>
        <w:rPr>
          <w:u w:val="single"/>
        </w:rPr>
      </w:r>
    </w:p>
    <w:p>
      <w:pPr>
        <w:pStyle w:val="style0"/>
        <w:pBdr>
          <w:top w:color="000001" w:space="0" w:sz="2" w:val="double"/>
          <w:left w:color="000001" w:space="0" w:sz="2" w:val="double"/>
          <w:bottom w:color="000001" w:space="0" w:sz="2" w:val="double"/>
          <w:right w:color="000001" w:space="0" w:sz="2" w:val="double"/>
        </w:pBdr>
        <w:jc w:val="center"/>
      </w:pPr>
      <w:r>
        <w:rPr>
          <w:rFonts w:eastAsia="Batang"/>
          <w:sz w:val="22"/>
          <w:szCs w:val="22"/>
        </w:rPr>
        <w:t>UNIVERSIDAD DE BUENOS AIRES</w:t>
      </w:r>
    </w:p>
    <w:p>
      <w:pPr>
        <w:pStyle w:val="style0"/>
        <w:pBdr>
          <w:top w:color="000001" w:space="0" w:sz="2" w:val="double"/>
          <w:left w:color="000001" w:space="0" w:sz="2" w:val="double"/>
          <w:bottom w:color="000001" w:space="0" w:sz="2" w:val="double"/>
          <w:right w:color="000001" w:space="0" w:sz="2" w:val="double"/>
        </w:pBdr>
        <w:tabs>
          <w:tab w:leader="none" w:pos="4819" w:val="center"/>
          <w:tab w:leader="none" w:pos="7875" w:val="left"/>
        </w:tabs>
        <w:jc w:val="center"/>
      </w:pPr>
      <w:r>
        <w:rPr>
          <w:rFonts w:eastAsia="Batang"/>
          <w:sz w:val="22"/>
          <w:szCs w:val="22"/>
        </w:rPr>
        <w:t>FACULTAD DE FILOSOFIA Y LETRAS</w:t>
      </w:r>
    </w:p>
    <w:p>
      <w:pPr>
        <w:pStyle w:val="style0"/>
        <w:spacing w:line="360" w:lineRule="auto"/>
        <w:ind w:hanging="0" w:left="-709" w:right="-568"/>
        <w:jc w:val="center"/>
      </w:pPr>
      <w:r>
        <w:rPr>
          <w:u w:val="single"/>
        </w:rPr>
      </w:r>
    </w:p>
    <w:p>
      <w:pPr>
        <w:pStyle w:val="style0"/>
        <w:spacing w:line="360" w:lineRule="auto"/>
        <w:ind w:hanging="0" w:left="-709" w:right="-568"/>
        <w:jc w:val="center"/>
      </w:pPr>
      <w:r>
        <w:rPr>
          <w:u w:val="single"/>
        </w:rPr>
      </w:r>
    </w:p>
    <w:p>
      <w:pPr>
        <w:pStyle w:val="style0"/>
        <w:spacing w:line="360" w:lineRule="auto"/>
        <w:ind w:hanging="0" w:left="-709" w:right="-568"/>
        <w:jc w:val="center"/>
      </w:pPr>
      <w:r>
        <w:rPr>
          <w:u w:val="single"/>
        </w:rPr>
      </w:r>
    </w:p>
    <w:p>
      <w:pPr>
        <w:pStyle w:val="style0"/>
        <w:spacing w:line="360" w:lineRule="auto"/>
        <w:ind w:hanging="0" w:left="-709" w:right="-568"/>
        <w:jc w:val="center"/>
      </w:pPr>
      <w:r>
        <w:rPr>
          <w:sz w:val="28"/>
          <w:szCs w:val="28"/>
          <w:u w:val="single"/>
        </w:rPr>
        <w:t>CURSO DE POSGRADO:</w:t>
      </w:r>
    </w:p>
    <w:p>
      <w:pPr>
        <w:pStyle w:val="style0"/>
        <w:spacing w:line="360" w:lineRule="auto"/>
        <w:ind w:hanging="0" w:left="-709" w:right="-568"/>
        <w:jc w:val="center"/>
      </w:pPr>
      <w:r>
        <w:rPr>
          <w:sz w:val="28"/>
          <w:szCs w:val="28"/>
          <w:u w:val="single"/>
        </w:rPr>
        <w:t xml:space="preserve"> </w:t>
      </w:r>
      <w:r>
        <w:rPr>
          <w:u w:val="single"/>
        </w:rPr>
        <w:t xml:space="preserve">EL SUJETO POR-VENIR: </w:t>
      </w:r>
      <w:r>
        <w:rPr>
          <w:sz w:val="28"/>
          <w:szCs w:val="28"/>
          <w:u w:val="single"/>
        </w:rPr>
        <w:t xml:space="preserve"> </w:t>
      </w:r>
      <w:r>
        <w:rPr>
          <w:u w:val="single"/>
        </w:rPr>
        <w:t>LA FILOSOFÍA DE PETER SLOTERDIJK Y JEAN-LUC MARION</w:t>
      </w:r>
    </w:p>
    <w:p>
      <w:pPr>
        <w:pStyle w:val="style0"/>
        <w:spacing w:line="360" w:lineRule="auto"/>
        <w:ind w:hanging="0" w:left="-709" w:right="-568"/>
      </w:pPr>
      <w:r>
        <w:rPr>
          <w:u w:val="single"/>
        </w:rPr>
      </w:r>
    </w:p>
    <w:p>
      <w:pPr>
        <w:pStyle w:val="style0"/>
        <w:spacing w:line="360" w:lineRule="auto"/>
        <w:ind w:hanging="0" w:left="-709" w:right="-568"/>
      </w:pPr>
      <w:r>
        <w:rPr>
          <w:u w:val="single"/>
        </w:rPr>
      </w:r>
    </w:p>
    <w:p>
      <w:pPr>
        <w:pStyle w:val="style0"/>
        <w:spacing w:line="360" w:lineRule="auto"/>
        <w:ind w:hanging="0" w:left="-709" w:right="-568"/>
      </w:pPr>
      <w:r>
        <w:rPr>
          <w:u w:val="single"/>
        </w:rPr>
      </w:r>
    </w:p>
    <w:p>
      <w:pPr>
        <w:pStyle w:val="style0"/>
        <w:pBdr>
          <w:top w:color="000001" w:space="0" w:sz="2" w:val="double"/>
          <w:left w:color="000001" w:space="0" w:sz="2" w:val="double"/>
          <w:bottom w:color="000001" w:space="0" w:sz="2" w:val="double"/>
          <w:right w:color="000001" w:space="0" w:sz="2" w:val="double"/>
        </w:pBdr>
      </w:pPr>
      <w:r>
        <w:rPr/>
        <w:t>COORDINACIÓN: Dra. Solange Camauër</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t>SEDE:</w:t>
      </w:r>
      <w:r>
        <w:rPr>
          <w:rFonts w:eastAsia="Batang"/>
        </w:rPr>
        <w:t xml:space="preserve"> Asociación Psicoanalítica Argentina</w:t>
      </w:r>
    </w:p>
    <w:p>
      <w:pPr>
        <w:pStyle w:val="style0"/>
        <w:pBdr>
          <w:top w:color="000001" w:space="0" w:sz="2" w:val="double"/>
          <w:left w:color="000001" w:space="0" w:sz="2" w:val="double"/>
          <w:bottom w:color="000001" w:space="0" w:sz="2" w:val="double"/>
          <w:right w:color="000001" w:space="0" w:sz="2" w:val="double"/>
        </w:pBdr>
      </w:pPr>
      <w:r>
        <w:rPr>
          <w:rFonts w:eastAsia="Batang"/>
        </w:rPr>
      </w:r>
    </w:p>
    <w:p>
      <w:pPr>
        <w:pStyle w:val="style0"/>
        <w:pBdr>
          <w:top w:color="000001" w:space="0" w:sz="2" w:val="double"/>
          <w:left w:color="000001" w:space="0" w:sz="2" w:val="double"/>
          <w:bottom w:color="000001" w:space="0" w:sz="2" w:val="double"/>
          <w:right w:color="000001" w:space="0" w:sz="2" w:val="double"/>
        </w:pBdr>
        <w:tabs>
          <w:tab w:leader="none" w:pos="2520" w:val="left"/>
        </w:tabs>
      </w:pPr>
      <w:r>
        <w:rPr>
          <w:rFonts w:eastAsia="Batang"/>
        </w:rPr>
        <w:t>HORARIO: miércoles de 13 a 15 hs.</w:t>
      </w:r>
    </w:p>
    <w:p>
      <w:pPr>
        <w:pStyle w:val="style0"/>
        <w:pBdr>
          <w:top w:color="000001" w:space="0" w:sz="2" w:val="double"/>
          <w:left w:color="000001" w:space="0" w:sz="2" w:val="double"/>
          <w:bottom w:color="000001" w:space="0" w:sz="2" w:val="double"/>
          <w:right w:color="000001" w:space="0" w:sz="2" w:val="double"/>
        </w:pBdr>
        <w:tabs>
          <w:tab w:leader="none" w:pos="2520" w:val="left"/>
        </w:tabs>
      </w:pPr>
      <w:r>
        <w:rPr>
          <w:rFonts w:eastAsia="Batang"/>
        </w:rPr>
      </w:r>
    </w:p>
    <w:p>
      <w:pPr>
        <w:pStyle w:val="style0"/>
        <w:pBdr>
          <w:top w:color="000001" w:space="0" w:sz="2" w:val="double"/>
          <w:left w:color="000001" w:space="0" w:sz="2" w:val="double"/>
          <w:bottom w:color="000001" w:space="0" w:sz="2" w:val="double"/>
          <w:right w:color="000001" w:space="0" w:sz="2" w:val="double"/>
        </w:pBdr>
      </w:pPr>
      <w:r>
        <w:rPr>
          <w:rFonts w:eastAsia="Batang"/>
        </w:rPr>
        <w:t xml:space="preserve">PERÍODO DE CURSADA:  5-04-2017 a 5-07-2017 </w:t>
      </w:r>
    </w:p>
    <w:p>
      <w:pPr>
        <w:pStyle w:val="style0"/>
        <w:pBdr>
          <w:top w:color="000001" w:space="0" w:sz="2" w:val="double"/>
          <w:left w:color="000001" w:space="0" w:sz="2" w:val="double"/>
          <w:bottom w:color="000001" w:space="0" w:sz="2" w:val="double"/>
          <w:right w:color="000001" w:space="0" w:sz="2" w:val="double"/>
        </w:pBdr>
      </w:pPr>
      <w:r>
        <w:rPr>
          <w:rFonts w:eastAsia="Batang"/>
        </w:rPr>
      </w:r>
    </w:p>
    <w:p>
      <w:pPr>
        <w:pStyle w:val="style0"/>
        <w:pBdr>
          <w:top w:color="000001" w:space="0" w:sz="2" w:val="double"/>
          <w:left w:color="000001" w:space="0" w:sz="2" w:val="double"/>
          <w:bottom w:color="000001" w:space="0" w:sz="2" w:val="double"/>
          <w:right w:color="000001" w:space="0" w:sz="2" w:val="double"/>
        </w:pBdr>
      </w:pPr>
      <w:r>
        <w:rPr>
          <w:rFonts w:eastAsia="Batang"/>
        </w:rPr>
        <w:t>Cantidad de horas: 28 hs.</w:t>
      </w:r>
    </w:p>
    <w:p>
      <w:pPr>
        <w:pStyle w:val="style0"/>
        <w:pBdr>
          <w:top w:color="000001" w:space="0" w:sz="2" w:val="double"/>
          <w:left w:color="000001" w:space="0" w:sz="2" w:val="double"/>
          <w:bottom w:color="000001" w:space="0" w:sz="2" w:val="double"/>
          <w:right w:color="000001" w:space="0" w:sz="2" w:val="double"/>
        </w:pBdr>
      </w:pPr>
      <w:r>
        <w:rPr>
          <w:rFonts w:eastAsia="Batang"/>
        </w:rPr>
      </w:r>
    </w:p>
    <w:p>
      <w:pPr>
        <w:pStyle w:val="style0"/>
        <w:pBdr>
          <w:top w:color="000001" w:space="0" w:sz="2" w:val="double"/>
          <w:left w:color="000001" w:space="0" w:sz="2" w:val="double"/>
          <w:bottom w:color="000001" w:space="0" w:sz="2" w:val="double"/>
          <w:right w:color="000001" w:space="0" w:sz="2" w:val="double"/>
        </w:pBdr>
      </w:pPr>
      <w:r>
        <w:rPr>
          <w:rFonts w:eastAsia="Batang"/>
        </w:rPr>
        <w:t>Inscripción e informes: Asociación Psicoanalítica Argentina, Rodríguez Peña 1674-CABA, 4812-3518</w:t>
      </w:r>
    </w:p>
    <w:p>
      <w:pPr>
        <w:pStyle w:val="style0"/>
        <w:spacing w:line="360" w:lineRule="auto"/>
        <w:ind w:hanging="0" w:left="-709" w:right="-568"/>
      </w:pPr>
      <w:r>
        <w:rPr>
          <w:u w:val="single"/>
        </w:rPr>
      </w:r>
    </w:p>
    <w:p>
      <w:pPr>
        <w:pStyle w:val="style0"/>
        <w:spacing w:line="360" w:lineRule="auto"/>
        <w:ind w:hanging="0" w:left="-709" w:right="-568"/>
        <w:jc w:val="center"/>
      </w:pPr>
      <w:r>
        <w:rPr>
          <w:sz w:val="28"/>
          <w:szCs w:val="28"/>
          <w:u w:val="single"/>
        </w:rPr>
      </w:r>
    </w:p>
    <w:p>
      <w:pPr>
        <w:pStyle w:val="style0"/>
        <w:spacing w:line="360" w:lineRule="auto"/>
        <w:ind w:hanging="0" w:left="-709" w:right="-568"/>
        <w:jc w:val="center"/>
      </w:pPr>
      <w:r>
        <w:rPr>
          <w:u w:val="single"/>
        </w:rPr>
        <w:t>FUNDAMENTACIÓN</w:t>
      </w:r>
    </w:p>
    <w:p>
      <w:pPr>
        <w:pStyle w:val="style0"/>
        <w:ind w:hanging="0" w:left="4252" w:right="-170"/>
        <w:jc w:val="both"/>
      </w:pPr>
      <w:r>
        <w:rPr>
          <w:sz w:val="20"/>
          <w:szCs w:val="20"/>
        </w:rPr>
      </w:r>
    </w:p>
    <w:p>
      <w:pPr>
        <w:pStyle w:val="style0"/>
        <w:ind w:hanging="0" w:left="4252" w:right="-170"/>
        <w:jc w:val="both"/>
      </w:pPr>
      <w:r>
        <w:rPr>
          <w:sz w:val="20"/>
          <w:szCs w:val="20"/>
        </w:rPr>
      </w:r>
    </w:p>
    <w:p>
      <w:pPr>
        <w:pStyle w:val="style0"/>
        <w:ind w:hanging="0" w:left="4252" w:right="-170"/>
        <w:jc w:val="both"/>
      </w:pPr>
      <w:r>
        <w:rPr>
          <w:sz w:val="20"/>
          <w:szCs w:val="20"/>
        </w:rPr>
      </w:r>
    </w:p>
    <w:p>
      <w:pPr>
        <w:pStyle w:val="style0"/>
        <w:ind w:hanging="0" w:left="0" w:right="-170"/>
        <w:jc w:val="both"/>
      </w:pPr>
      <w:r>
        <w:rPr>
          <w:sz w:val="20"/>
          <w:szCs w:val="20"/>
        </w:rPr>
        <w:t>“</w:t>
      </w:r>
      <w:r>
        <w:rPr>
          <w:sz w:val="20"/>
          <w:szCs w:val="20"/>
        </w:rPr>
        <w:t>Los matemáticos han de convertirse en poetas, los cibernéticos en filósofos de la religión, los médicos en compositores y los informáticos en chamanes. ¿Acaso fue el sentimiento de humanidad alguna vez algo distinto del arte de producir transiciones?”</w:t>
      </w:r>
    </w:p>
    <w:p>
      <w:pPr>
        <w:pStyle w:val="style0"/>
        <w:ind w:hanging="0" w:left="4252" w:right="-170"/>
        <w:jc w:val="both"/>
      </w:pPr>
      <w:r>
        <w:rPr>
          <w:sz w:val="20"/>
          <w:szCs w:val="20"/>
        </w:rPr>
        <w:t xml:space="preserve">          ‘</w:t>
      </w:r>
      <w:r>
        <w:rPr>
          <w:sz w:val="20"/>
          <w:szCs w:val="20"/>
        </w:rPr>
        <w:t xml:space="preserve">La humillación por las máquinas’   P. Sloterdijk  </w:t>
      </w:r>
    </w:p>
    <w:p>
      <w:pPr>
        <w:pStyle w:val="style0"/>
        <w:spacing w:line="360" w:lineRule="auto"/>
        <w:ind w:hanging="0" w:left="-709" w:right="-568"/>
        <w:jc w:val="center"/>
      </w:pPr>
      <w:r>
        <w:rPr>
          <w:u w:val="single"/>
        </w:rPr>
      </w:r>
    </w:p>
    <w:p>
      <w:pPr>
        <w:pStyle w:val="style0"/>
        <w:widowControl w:val="false"/>
        <w:jc w:val="both"/>
      </w:pPr>
      <w:r>
        <w:rPr>
          <w:rFonts w:cs="Calibri"/>
          <w:color w:val="191919"/>
          <w:sz w:val="20"/>
          <w:szCs w:val="20"/>
          <w:lang w:eastAsia="en-US" w:val="es-ES"/>
        </w:rPr>
        <w:t>“</w:t>
      </w:r>
      <w:r>
        <w:rPr>
          <w:rFonts w:cs="Calibri"/>
          <w:color w:val="191919"/>
          <w:sz w:val="20"/>
          <w:szCs w:val="20"/>
          <w:lang w:eastAsia="en-US" w:val="es-ES"/>
        </w:rPr>
        <w:t xml:space="preserve">Un cuerpo físico, un ente del mundo, un objeto no tienen que decidir si merecen ser , ni tampoco si pueden ser -perseverar en el ser elemental, porque están eximidos de elegirlo, de quererlo, o sea de amarlo. Yo tengo que decidirlo. Quizás el átomo, la piedra, el cielo y el animal puedan perseverar naturalmente en su ser sin angustia ni escrúpulo. Yo no puedo hacerlo. Para perseverar en mi ser, yo debo primero querer ser, yo debo querer ser, y para ello amar ser. Y no puedo hacerlo por mucho tiempo sino hacerlo por mucho tiempo, sino obtengo pronto una respuesta positiva a la pregunta '¿me aman?' </w:t>
      </w:r>
    </w:p>
    <w:p>
      <w:pPr>
        <w:pStyle w:val="style0"/>
        <w:widowControl w:val="false"/>
        <w:jc w:val="both"/>
      </w:pPr>
      <w:r>
        <w:rPr>
          <w:rFonts w:cs="Calibri"/>
          <w:color w:val="191919"/>
          <w:sz w:val="20"/>
          <w:szCs w:val="20"/>
          <w:lang w:eastAsia="en-US" w:val="es-ES"/>
        </w:rPr>
      </w:r>
    </w:p>
    <w:p>
      <w:pPr>
        <w:pStyle w:val="style0"/>
        <w:spacing w:line="360" w:lineRule="auto"/>
        <w:ind w:firstLine="709" w:left="4247" w:right="-568"/>
        <w:jc w:val="both"/>
      </w:pPr>
      <w:r>
        <w:rPr>
          <w:rFonts w:cs="Calibri"/>
          <w:color w:val="191919"/>
          <w:sz w:val="20"/>
          <w:szCs w:val="20"/>
          <w:lang w:eastAsia="en-US" w:val="es-ES"/>
        </w:rPr>
        <w:t>Le phénomène érotique Jean-Luc Marion </w:t>
      </w:r>
    </w:p>
    <w:p>
      <w:pPr>
        <w:pStyle w:val="style0"/>
        <w:spacing w:line="360" w:lineRule="auto"/>
        <w:ind w:hanging="0" w:left="0" w:right="-568"/>
        <w:jc w:val="both"/>
      </w:pPr>
      <w:r>
        <w:rPr>
          <w:u w:val="single"/>
        </w:rPr>
      </w:r>
    </w:p>
    <w:p>
      <w:pPr>
        <w:pStyle w:val="style0"/>
        <w:spacing w:line="360" w:lineRule="auto"/>
        <w:ind w:hanging="0" w:left="-709" w:right="-568"/>
        <w:jc w:val="both"/>
      </w:pPr>
      <w:r>
        <w:rPr/>
        <w:t xml:space="preserve">El sujeto contemporáneo, desilusionado del pasado y del presente, tiende a depositar en el futuro una nueva mitología.   El futuro podría ser más ‘real’ que el presente y que el pasado porque ese futuro  decide hoy, en muchos aspectos,  el sentido y la relevancia del pasado y del presente.  La paradoja es evidente puesto que ese futuro ‘real’ no existe aunque se anuncia y gravita en diversas instancias.  La fuga hacia   ese futuro que no es  podría deberse a que los hombres comienzan a considerarse ‘obsoletos’ en  un mundo gestionado por máquinas inteligentes programadas por algoritmos, un mundo en el que domina el dataísmo en detrimento de la teoría, la virtualidad, la espectacularización de la política y de la intimidad, la fantasía de  optimización  absoluta de cuerpo y  mente que la ciencia fomenta y que alcanzará únicamente a algunos. Sin embargo,  ese sentimiento de obsolescencia y la fuga hacia delante deben ser cuestionados y analizados puesto que, ineludiblemente, el futuro ‘apremiante’ tendría anclaje en subjetividades trabajadas por una historia que determina la recepción del futuro.  Peter Sloterdijk y Jean-Luc Marion ofrecen perspectivas para el estudio de esas subjetividades enfrentadas a su por-venir que permiten la comprensión del hombre en un mundo crecientemente tecnificado. </w:t>
      </w:r>
    </w:p>
    <w:p>
      <w:pPr>
        <w:pStyle w:val="style0"/>
        <w:spacing w:line="360" w:lineRule="auto"/>
        <w:ind w:hanging="0" w:left="-709" w:right="-568"/>
        <w:jc w:val="both"/>
      </w:pPr>
      <w:r>
        <w:rPr/>
      </w:r>
    </w:p>
    <w:p>
      <w:pPr>
        <w:pStyle w:val="style0"/>
        <w:spacing w:line="360" w:lineRule="auto"/>
        <w:ind w:hanging="0" w:left="-709" w:right="-568"/>
        <w:jc w:val="both"/>
      </w:pPr>
      <w:r>
        <w:rPr>
          <w:u w:val="single"/>
        </w:rPr>
        <w:t>Perspectivas:</w:t>
      </w:r>
    </w:p>
    <w:p>
      <w:pPr>
        <w:pStyle w:val="style0"/>
        <w:ind w:hanging="0" w:left="170" w:right="-170"/>
        <w:jc w:val="both"/>
      </w:pPr>
      <w:r>
        <w:rPr/>
      </w:r>
    </w:p>
    <w:p>
      <w:pPr>
        <w:pStyle w:val="style0"/>
        <w:ind w:hanging="0" w:left="-709" w:right="-567"/>
        <w:jc w:val="both"/>
      </w:pPr>
      <w:r>
        <w:rPr/>
        <w:t>I. La perspectiva de P. Sloterdijk: maleabilidad humana, antropotécnicas y objetos técnicos</w:t>
      </w:r>
    </w:p>
    <w:p>
      <w:pPr>
        <w:pStyle w:val="style0"/>
        <w:ind w:hanging="0" w:left="-709" w:right="-567"/>
        <w:jc w:val="both"/>
      </w:pPr>
      <w:r>
        <w:rPr/>
        <w:t>(dictado a cargo de Solange Camauër)</w:t>
      </w:r>
    </w:p>
    <w:p>
      <w:pPr>
        <w:pStyle w:val="style0"/>
        <w:ind w:hanging="0" w:left="-709" w:right="-567"/>
        <w:jc w:val="both"/>
      </w:pPr>
      <w:r>
        <w:rPr/>
      </w:r>
    </w:p>
    <w:p>
      <w:pPr>
        <w:pStyle w:val="style0"/>
        <w:ind w:hanging="0" w:left="-709" w:right="-567"/>
        <w:jc w:val="both"/>
      </w:pPr>
      <w:r>
        <w:rPr/>
        <w:t xml:space="preserve">El hombre, en tanto potencia, es siempre lo que no es.  La centralidad del problema de la potencia humana es, sin embargo, paradojal: la potencia humana no tiene esencia y esto significa que la potencia no está, en principio, determinada en dirección alguna y no tiene meta definida que alcanzar; la biología, efectivamente, tampoco trazaría un campo específico de realización del hombre, apenas, quizás, ciertas restricciones.  En el marco de esta indeterminación potencial, sin embargo, el hombre se dio diversas figuras históricas mediante una serie de ejercicios, experimentos, terapias, represiones y técnicas autoaplicadas. El lenguaje, la voluntad, los hábitos y rituales, las leyes y la educación, son ejemplos de dispositivos mediante los cuales el hombre llega a ser lo que es.      </w:t>
      </w:r>
    </w:p>
    <w:p>
      <w:pPr>
        <w:pStyle w:val="style0"/>
        <w:ind w:hanging="0" w:left="-709" w:right="-567"/>
        <w:jc w:val="both"/>
      </w:pPr>
      <w:r>
        <w:rPr/>
        <w:t>El propósito del curso es realizar el estudio de algunas de las antropotécnicas, especialmente propuestas por el filósofo alemán P. Sloterdijk,  que han dado forma al  humano y que conectan naturaleza y cultura puesto que el cuerpo asume, mediante la ejercitación, las formas que lo definen y lo definirán en el futuro. El estudio permitirá vislumbrar no solo las nuevas figuras humanas que la hipermodernidad prepara sino los antecedentes históricos de esas figuras que, por ejemplo, la literatura registra magistralmente.</w:t>
      </w:r>
    </w:p>
    <w:p>
      <w:pPr>
        <w:pStyle w:val="style0"/>
        <w:ind w:hanging="0" w:left="-709" w:right="-567"/>
        <w:jc w:val="both"/>
      </w:pPr>
      <w:r>
        <w:rPr/>
      </w:r>
    </w:p>
    <w:p>
      <w:pPr>
        <w:pStyle w:val="style0"/>
        <w:ind w:hanging="0" w:left="-709" w:right="-567"/>
        <w:jc w:val="both"/>
      </w:pPr>
      <w:r>
        <w:rPr/>
      </w:r>
    </w:p>
    <w:p>
      <w:pPr>
        <w:pStyle w:val="style0"/>
        <w:ind w:hanging="0" w:left="-709" w:right="-567"/>
        <w:jc w:val="both"/>
      </w:pPr>
      <w:r>
        <w:rPr/>
        <w:t>Temáticas:</w:t>
      </w:r>
    </w:p>
    <w:p>
      <w:pPr>
        <w:pStyle w:val="style0"/>
        <w:ind w:hanging="0" w:left="-709" w:right="-567"/>
        <w:jc w:val="both"/>
      </w:pPr>
      <w:r>
        <w:rPr/>
        <w:t>1. (No) Potencia humana.  El sujeto como potencia  restante.  ¿Es posible la ‘conversión’ humana?</w:t>
      </w:r>
    </w:p>
    <w:p>
      <w:pPr>
        <w:pStyle w:val="style0"/>
        <w:ind w:hanging="0" w:left="-709" w:right="-567"/>
        <w:jc w:val="both"/>
      </w:pPr>
      <w:r>
        <w:rPr/>
        <w:t xml:space="preserve">-Agamben, G., ‘La potencia del pensamiento’ en </w:t>
      </w:r>
      <w:r>
        <w:rPr>
          <w:i/>
        </w:rPr>
        <w:t>La potencia del pensamiento</w:t>
      </w:r>
      <w:r>
        <w:rPr/>
        <w:t>, trad.: F. Costa y E. Castro, Buenos Aires, Adriana Hidalgo, 2007</w:t>
      </w:r>
    </w:p>
    <w:p>
      <w:pPr>
        <w:pStyle w:val="style0"/>
        <w:ind w:hanging="0" w:left="-709" w:right="-567"/>
        <w:jc w:val="both"/>
      </w:pPr>
      <w:r>
        <w:rPr/>
        <w:t xml:space="preserve">-Hadot, P., ‘Conversión’ en </w:t>
      </w:r>
      <w:r>
        <w:rPr>
          <w:i/>
        </w:rPr>
        <w:t>Ejercicios espirituales y filosofía antigua</w:t>
      </w:r>
      <w:r>
        <w:rPr/>
        <w:t>, trad.: J. Palacio, Madrid, Siruela, 2006</w:t>
      </w:r>
    </w:p>
    <w:p>
      <w:pPr>
        <w:pStyle w:val="style0"/>
        <w:ind w:hanging="0" w:left="-709" w:right="-567"/>
        <w:jc w:val="both"/>
      </w:pPr>
      <w:r>
        <w:rPr/>
        <w:t xml:space="preserve">-Sloterdijk, P., </w:t>
      </w:r>
      <w:r>
        <w:rPr>
          <w:i/>
        </w:rPr>
        <w:t>Has de cambiar de vida</w:t>
      </w:r>
      <w:r>
        <w:rPr/>
        <w:t>, trad.: P. Madrigal, Valencia, Pre-textos, 2012</w:t>
      </w:r>
    </w:p>
    <w:p>
      <w:pPr>
        <w:pStyle w:val="style0"/>
        <w:ind w:hanging="0" w:left="-709" w:right="-567"/>
        <w:jc w:val="both"/>
      </w:pPr>
      <w:r>
        <w:rPr/>
      </w:r>
    </w:p>
    <w:p>
      <w:pPr>
        <w:pStyle w:val="style0"/>
        <w:ind w:hanging="0" w:left="-709" w:right="-567"/>
        <w:jc w:val="both"/>
      </w:pPr>
      <w:r>
        <w:rPr>
          <w:u w:val="single"/>
        </w:rPr>
        <w:t>Referencia literaria:</w:t>
      </w:r>
    </w:p>
    <w:p>
      <w:pPr>
        <w:pStyle w:val="style0"/>
        <w:ind w:hanging="0" w:left="-709" w:right="-567"/>
        <w:jc w:val="both"/>
      </w:pPr>
      <w:r>
        <w:rPr/>
        <w:t xml:space="preserve">-Kafka, F., ‘Un informe para una academia’ en </w:t>
      </w:r>
      <w:r>
        <w:rPr>
          <w:i/>
        </w:rPr>
        <w:t>Relatos completos</w:t>
      </w:r>
      <w:r>
        <w:rPr/>
        <w:t>, trad.: F.Zanutigh, Buenos Aires, Losada, 2003.</w:t>
      </w:r>
    </w:p>
    <w:p>
      <w:pPr>
        <w:pStyle w:val="style0"/>
        <w:ind w:hanging="0" w:left="-709" w:right="-567"/>
        <w:jc w:val="both"/>
      </w:pPr>
      <w:r>
        <w:rPr/>
        <w:t xml:space="preserve">-Borges, J.L., ‘Historia del guerrero y la cautiva’, </w:t>
      </w:r>
      <w:r>
        <w:rPr>
          <w:i/>
        </w:rPr>
        <w:t>Obra Completa</w:t>
      </w:r>
      <w:r>
        <w:rPr/>
        <w:t>, Buenos Aires, Emecé, 1974</w:t>
      </w:r>
    </w:p>
    <w:p>
      <w:pPr>
        <w:pStyle w:val="style0"/>
        <w:ind w:hanging="0" w:left="-709" w:right="-567"/>
        <w:jc w:val="both"/>
      </w:pPr>
      <w:r>
        <w:rPr/>
      </w:r>
    </w:p>
    <w:p>
      <w:pPr>
        <w:pStyle w:val="style0"/>
        <w:ind w:hanging="0" w:left="-709" w:right="-567"/>
        <w:jc w:val="both"/>
      </w:pPr>
      <w:r>
        <w:rPr>
          <w:u w:val="single"/>
        </w:rPr>
        <w:t>Documentales:</w:t>
      </w:r>
    </w:p>
    <w:p>
      <w:pPr>
        <w:pStyle w:val="style0"/>
        <w:ind w:hanging="0" w:left="-709" w:right="-567"/>
        <w:jc w:val="both"/>
      </w:pPr>
      <w:r>
        <w:rPr/>
        <w:t>-Adam Curtis:  ‘The century of the self’, BBC, Youtube, 2002.  Subtitulado.</w:t>
      </w:r>
    </w:p>
    <w:p>
      <w:pPr>
        <w:pStyle w:val="style0"/>
        <w:ind w:hanging="0" w:left="-709" w:right="-567"/>
        <w:jc w:val="both"/>
      </w:pPr>
      <w:r>
        <w:rPr/>
        <w:t xml:space="preserve"> </w:t>
      </w:r>
    </w:p>
    <w:p>
      <w:pPr>
        <w:pStyle w:val="style0"/>
        <w:ind w:hanging="0" w:left="-709" w:right="-567"/>
        <w:jc w:val="both"/>
      </w:pPr>
      <w:r>
        <w:rPr/>
        <w:t>2. Hombres artificiales del pasado, del presente y del futuro. El artefacto humano, tecnología y mutaciones del hombre.</w:t>
      </w:r>
    </w:p>
    <w:p>
      <w:pPr>
        <w:pStyle w:val="style0"/>
        <w:ind w:hanging="0" w:left="-709" w:right="-567"/>
        <w:jc w:val="both"/>
      </w:pPr>
      <w:r>
        <w:rPr/>
      </w:r>
    </w:p>
    <w:p>
      <w:pPr>
        <w:pStyle w:val="style0"/>
        <w:ind w:hanging="0" w:left="-709" w:right="-567"/>
        <w:jc w:val="both"/>
      </w:pPr>
      <w:r>
        <w:rPr/>
        <w:t xml:space="preserve">-Bostrom, Nick, ‘Una  historia del pensamiento transhumanista’, Revista Argumentos de Razón Técnica, (versión on line). </w:t>
      </w:r>
    </w:p>
    <w:p>
      <w:pPr>
        <w:pStyle w:val="style0"/>
        <w:ind w:hanging="0" w:left="-709" w:right="-567"/>
        <w:jc w:val="both"/>
      </w:pPr>
      <w:r>
        <w:rPr/>
        <w:t xml:space="preserve">-Carr, N., </w:t>
      </w:r>
      <w:r>
        <w:rPr>
          <w:i/>
        </w:rPr>
        <w:t>Atrapados, cómo las máquinas se apoderan de nuestras vidas</w:t>
      </w:r>
      <w:r>
        <w:rPr/>
        <w:t>, trad.: P. Cifuentes, Madrid,</w:t>
      </w:r>
    </w:p>
    <w:p>
      <w:pPr>
        <w:pStyle w:val="style0"/>
        <w:ind w:hanging="0" w:left="-709" w:right="-567"/>
        <w:jc w:val="both"/>
      </w:pPr>
      <w:r>
        <w:rPr/>
        <w:t>Alfaguara, 2014</w:t>
      </w:r>
    </w:p>
    <w:p>
      <w:pPr>
        <w:pStyle w:val="style0"/>
        <w:ind w:hanging="0" w:left="-709" w:right="-170"/>
        <w:jc w:val="both"/>
      </w:pPr>
      <w:r>
        <w:rPr/>
        <w:t xml:space="preserve">-Han, B-Ch., </w:t>
      </w:r>
      <w:r>
        <w:rPr>
          <w:i/>
        </w:rPr>
        <w:t>En el enjambre</w:t>
      </w:r>
      <w:r>
        <w:rPr/>
        <w:t>, trad.: A. Bergés, Barcelona, Herder, 2014</w:t>
      </w:r>
    </w:p>
    <w:p>
      <w:pPr>
        <w:pStyle w:val="style0"/>
        <w:ind w:hanging="0" w:left="-709" w:right="-170"/>
        <w:jc w:val="both"/>
      </w:pPr>
      <w:r>
        <w:rPr/>
        <w:t xml:space="preserve">-Han, B-Ch., </w:t>
      </w:r>
      <w:r>
        <w:rPr>
          <w:i/>
        </w:rPr>
        <w:t>Psicopolítica</w:t>
      </w:r>
      <w:r>
        <w:rPr/>
        <w:t>, A. Bergés, Barcelona, Herder, 2014</w:t>
      </w:r>
    </w:p>
    <w:p>
      <w:pPr>
        <w:pStyle w:val="style0"/>
        <w:ind w:hanging="0" w:left="-709" w:right="-170"/>
        <w:jc w:val="both"/>
      </w:pPr>
      <w:r>
        <w:rPr/>
        <w:t xml:space="preserve">-Harari, Y. N. </w:t>
      </w:r>
      <w:r>
        <w:rPr>
          <w:i/>
        </w:rPr>
        <w:t>De animales a Dioses, breve historia de la humanidad</w:t>
      </w:r>
      <w:r>
        <w:rPr/>
        <w:t>, trad.: J. Ros, Buenos Aires, Debate, 2014</w:t>
      </w:r>
    </w:p>
    <w:p>
      <w:pPr>
        <w:pStyle w:val="style0"/>
        <w:ind w:hanging="0" w:left="-709" w:right="0"/>
        <w:jc w:val="both"/>
      </w:pPr>
      <w:r>
        <w:rPr/>
        <w:t xml:space="preserve">-Heidegger, M., </w:t>
      </w:r>
      <w:r>
        <w:rPr>
          <w:lang w:eastAsia="es-ES" w:val="es-ES"/>
        </w:rPr>
        <w:t xml:space="preserve">La pregunta por la técnica, en Revista de Filosofía (Chile) N° 1, 1958     </w:t>
      </w:r>
    </w:p>
    <w:p>
      <w:pPr>
        <w:pStyle w:val="style0"/>
        <w:ind w:hanging="0" w:left="-709" w:right="-170"/>
        <w:jc w:val="both"/>
      </w:pPr>
      <w:r>
        <w:rPr/>
        <w:t xml:space="preserve">-Sloterdijk, P. ‘El hombre operable. Notas sobre el estado ético de la tecnología génica’ en Artefacto 4/2001  (on line </w:t>
      </w:r>
      <w:hyperlink r:id="rId2">
        <w:r>
          <w:rPr>
            <w:rStyle w:val="style16"/>
          </w:rPr>
          <w:t>www.revista-artefacto.com.ar</w:t>
        </w:r>
      </w:hyperlink>
      <w:r>
        <w:rPr/>
        <w:t>)</w:t>
      </w:r>
    </w:p>
    <w:p>
      <w:pPr>
        <w:pStyle w:val="style0"/>
        <w:ind w:hanging="0" w:left="-709" w:right="-170"/>
        <w:jc w:val="both"/>
      </w:pPr>
      <w:r>
        <w:rPr/>
        <w:t xml:space="preserve">-Sloterdijk, P. ‘La humillación por las máquinas’ en </w:t>
      </w:r>
      <w:r>
        <w:rPr>
          <w:i/>
        </w:rPr>
        <w:t>Sin salvación, tras las huellas de</w:t>
      </w:r>
      <w:r>
        <w:rPr/>
        <w:t xml:space="preserve"> </w:t>
      </w:r>
      <w:r>
        <w:rPr>
          <w:i/>
        </w:rPr>
        <w:t>Heidegger</w:t>
      </w:r>
      <w:r>
        <w:rPr/>
        <w:t>, trad.: J. Chamorro Mielke, Madrid, Akal, 2011</w:t>
      </w:r>
    </w:p>
    <w:p>
      <w:pPr>
        <w:pStyle w:val="style0"/>
        <w:ind w:hanging="0" w:left="-709" w:right="-170"/>
        <w:jc w:val="both"/>
      </w:pPr>
      <w:r>
        <w:rPr/>
        <w:t>-Sloterdijk, P</w:t>
      </w:r>
      <w:r>
        <w:rPr>
          <w:i/>
        </w:rPr>
        <w:t>., Muerte aparente en el pensar</w:t>
      </w:r>
      <w:r>
        <w:rPr/>
        <w:t>, trad.: I. Reguero, Madrid, Siruela, 2013</w:t>
      </w:r>
    </w:p>
    <w:p>
      <w:pPr>
        <w:pStyle w:val="style0"/>
        <w:ind w:hanging="0" w:left="-709" w:right="-170"/>
        <w:jc w:val="both"/>
      </w:pPr>
      <w:r>
        <w:rPr/>
      </w:r>
    </w:p>
    <w:p>
      <w:pPr>
        <w:pStyle w:val="style0"/>
        <w:ind w:hanging="0" w:left="-709" w:right="-170"/>
        <w:jc w:val="both"/>
      </w:pPr>
      <w:r>
        <w:rPr>
          <w:u w:val="single"/>
        </w:rPr>
        <w:t>Referencia Literaria:</w:t>
      </w:r>
    </w:p>
    <w:p>
      <w:pPr>
        <w:pStyle w:val="style0"/>
        <w:ind w:hanging="0" w:left="-709" w:right="-170"/>
        <w:jc w:val="both"/>
      </w:pPr>
      <w:r>
        <w:rPr/>
        <w:t xml:space="preserve">-Borges, J.L. ‘El Golem’, en </w:t>
      </w:r>
      <w:r>
        <w:rPr>
          <w:i/>
        </w:rPr>
        <w:t>Obras Completas,</w:t>
      </w:r>
      <w:r>
        <w:rPr/>
        <w:t xml:space="preserve"> Buenos Aires, Emecé, 1976 </w:t>
      </w:r>
    </w:p>
    <w:p>
      <w:pPr>
        <w:pStyle w:val="style0"/>
        <w:ind w:hanging="0" w:left="-709" w:right="-170"/>
        <w:jc w:val="both"/>
      </w:pPr>
      <w:r>
        <w:rPr>
          <w:lang w:val="en-US"/>
        </w:rPr>
        <w:t xml:space="preserve">-Shelley, M., </w:t>
      </w:r>
      <w:r>
        <w:rPr>
          <w:i/>
          <w:lang w:val="en-US"/>
        </w:rPr>
        <w:t xml:space="preserve">Frankenstein </w:t>
      </w:r>
      <w:r>
        <w:rPr>
          <w:lang w:val="en-US"/>
        </w:rPr>
        <w:t>(hay versiones on line)</w:t>
      </w:r>
    </w:p>
    <w:p>
      <w:pPr>
        <w:pStyle w:val="style0"/>
        <w:ind w:hanging="0" w:left="-709" w:right="-170"/>
        <w:jc w:val="both"/>
      </w:pPr>
      <w:r>
        <w:rPr/>
        <w:t xml:space="preserve">-Asimov, I.,  </w:t>
      </w:r>
      <w:r>
        <w:rPr>
          <w:i/>
        </w:rPr>
        <w:t>Yo, Robot (</w:t>
      </w:r>
      <w:r>
        <w:rPr/>
        <w:t>hay varias versiones  on line)</w:t>
      </w:r>
    </w:p>
    <w:p>
      <w:pPr>
        <w:pStyle w:val="style0"/>
        <w:ind w:hanging="0" w:left="-709" w:right="-170"/>
        <w:jc w:val="both"/>
      </w:pPr>
      <w:r>
        <w:rPr/>
        <w:t xml:space="preserve">-Houellebecq, M., </w:t>
      </w:r>
      <w:r>
        <w:rPr>
          <w:i/>
        </w:rPr>
        <w:t>La posibilidad de una isla</w:t>
      </w:r>
      <w:r>
        <w:rPr/>
        <w:t xml:space="preserve">, trad.: E. Castejón, </w:t>
      </w:r>
      <w:bookmarkStart w:id="0" w:name="_GoBack"/>
      <w:bookmarkEnd w:id="0"/>
      <w:r>
        <w:rPr/>
        <w:t>Buenos Aires, Alfaguara, 2005</w:t>
      </w:r>
    </w:p>
    <w:p>
      <w:pPr>
        <w:pStyle w:val="style0"/>
        <w:ind w:hanging="0" w:left="-709" w:right="-170"/>
        <w:jc w:val="both"/>
      </w:pPr>
      <w:r>
        <w:rPr/>
      </w:r>
    </w:p>
    <w:p>
      <w:pPr>
        <w:pStyle w:val="style0"/>
        <w:ind w:hanging="0" w:left="-709" w:right="-170"/>
        <w:jc w:val="both"/>
      </w:pPr>
      <w:r>
        <w:rPr>
          <w:u w:val="single"/>
        </w:rPr>
        <w:t>Documentales:</w:t>
      </w:r>
    </w:p>
    <w:p>
      <w:pPr>
        <w:pStyle w:val="style0"/>
        <w:ind w:hanging="0" w:left="-709" w:right="-170"/>
        <w:jc w:val="both"/>
      </w:pPr>
      <w:r>
        <w:rPr>
          <w:u w:val="single"/>
        </w:rPr>
      </w:r>
    </w:p>
    <w:p>
      <w:pPr>
        <w:pStyle w:val="style0"/>
        <w:ind w:hanging="0" w:left="-709" w:right="-567"/>
        <w:jc w:val="both"/>
      </w:pPr>
      <w:r>
        <w:rPr/>
        <w:t>-Adam Curtis: -‘Everything is going according to plan’, BBC, Youtube, 2011. Subtitulado</w:t>
      </w:r>
    </w:p>
    <w:p>
      <w:pPr>
        <w:pStyle w:val="style0"/>
        <w:ind w:hanging="0" w:left="-709" w:right="-567"/>
        <w:jc w:val="both"/>
      </w:pPr>
      <w:r>
        <w:rPr/>
        <w:t xml:space="preserve">                       </w:t>
      </w:r>
      <w:r>
        <w:rPr/>
        <w:t>-‘All watched over by machines of Loving Grace’, BBC, Youtube, 2011, Subtitulado -Werner Herzog: ‘ Lo and behold, the reveries of the connected world’,  2016, Subtitulado</w:t>
      </w:r>
    </w:p>
    <w:p>
      <w:pPr>
        <w:pStyle w:val="style0"/>
        <w:ind w:hanging="0" w:left="-709" w:right="-567"/>
        <w:jc w:val="both"/>
      </w:pPr>
      <w:r>
        <w:rPr/>
      </w:r>
    </w:p>
    <w:p>
      <w:pPr>
        <w:pStyle w:val="style0"/>
        <w:ind w:hanging="0" w:left="-709" w:right="-567"/>
        <w:jc w:val="both"/>
      </w:pPr>
      <w:r>
        <w:rPr/>
      </w:r>
    </w:p>
    <w:p>
      <w:pPr>
        <w:pStyle w:val="style0"/>
        <w:ind w:hanging="0" w:left="-709" w:right="-170"/>
        <w:jc w:val="both"/>
      </w:pPr>
      <w:r>
        <w:rPr>
          <w:u w:val="single"/>
          <w:lang w:val="es-AR"/>
        </w:rPr>
      </w:r>
    </w:p>
    <w:p>
      <w:pPr>
        <w:pStyle w:val="style0"/>
        <w:ind w:hanging="0" w:left="-709" w:right="-170"/>
        <w:jc w:val="both"/>
      </w:pPr>
      <w:r>
        <w:rPr>
          <w:u w:val="single"/>
          <w:lang w:val="es-AR"/>
        </w:rPr>
      </w:r>
    </w:p>
    <w:p>
      <w:pPr>
        <w:pStyle w:val="style0"/>
        <w:ind w:hanging="0" w:left="-709" w:right="-170"/>
        <w:jc w:val="both"/>
      </w:pPr>
      <w:r>
        <w:rPr>
          <w:lang w:val="es-AR"/>
        </w:rPr>
        <w:t xml:space="preserve">II. La perspectiva de Jean-Luc Marion: Intimidad y destitución subjetivante del amor en la filosofia de Jean-Luc Marion. (dicatado a cargo de Pablo Dreizik) </w:t>
      </w:r>
    </w:p>
    <w:p>
      <w:pPr>
        <w:pStyle w:val="style0"/>
        <w:shd w:fill="FFFFFF" w:val="clear"/>
        <w:spacing w:after="24" w:before="100"/>
        <w:ind w:hanging="0" w:left="-709" w:right="0"/>
        <w:jc w:val="both"/>
      </w:pPr>
      <w:r>
        <w:rPr>
          <w:color w:val="252525"/>
          <w:shd w:fill="FFFFFF" w:val="clear"/>
          <w:lang w:val="es-AR"/>
        </w:rPr>
        <w:t>Jean-Luc Marion es uno de los representantes más importantes de la tradición filosófica francesa que participa de la actual tramitación y recepción de las herencias de Heidegger y Husserl en el pensamiento contemporáneo. Al mismo tiempo, Marion ha desarrollado una empresa filosófica propia y original que deposita su atención en los procesos de subjetivación a partir de las nociones de cuerpo propio, de acontecimiento y de alteridad para, entonces,</w:t>
      </w:r>
      <w:r>
        <w:rPr>
          <w:shd w:fill="FFFFFF" w:val="clear"/>
          <w:lang w:val="es-AR"/>
        </w:rPr>
        <w:t xml:space="preserve"> </w:t>
      </w:r>
      <w:r>
        <w:rPr>
          <w:rStyle w:val="style17"/>
          <w:i w:val="false"/>
          <w:iCs w:val="false"/>
          <w:shd w:fill="FFFFFF" w:val="clear"/>
          <w:lang w:val="es-AR"/>
        </w:rPr>
        <w:t xml:space="preserve">acuñar un elenco propio de conceptos: “el fenómeno saturado”, el “ícono”, el “llamado” y la “donación”  etc. En sus diversos libros - </w:t>
      </w:r>
      <w:r>
        <w:rPr>
          <w:color w:val="252525"/>
          <w:lang w:val="es-AR"/>
        </w:rPr>
        <w:t xml:space="preserve">Siendo dado: Ensayo para una fenomenología de la donación. (2008); Reducción y donación. Investigaciones acerca de Husserl, Heidegger y la fenomenología. (2012) ; Acerca de la donación. Una perspectiva fenomenológica. (2005)  - Marion elabora una perspectiva de la subjetivación a partir de la estructura del  “llamado” (Anspruch) o “solicitud’ desde un afuera irreductible a “lo propio”. En esta misma dirección, a la estructura del  “llamado” como operador de la subjetivación Marion ha sumado la instancia del “amor” como configuradora de una intimidad insacrificable.  </w:t>
      </w:r>
    </w:p>
    <w:p>
      <w:pPr>
        <w:pStyle w:val="style0"/>
        <w:shd w:fill="FFFFFF" w:val="clear"/>
        <w:spacing w:after="24" w:before="100"/>
        <w:ind w:hanging="0" w:left="-709" w:right="0"/>
        <w:jc w:val="both"/>
      </w:pPr>
      <w:r>
        <w:rPr>
          <w:color w:val="252525"/>
          <w:shd w:fill="FFFFFF" w:val="clear"/>
          <w:lang w:val="es-AR"/>
        </w:rPr>
        <w:t>Temáticas:</w:t>
      </w:r>
    </w:p>
    <w:p>
      <w:pPr>
        <w:pStyle w:val="style0"/>
        <w:jc w:val="both"/>
      </w:pPr>
      <w:r>
        <w:rPr>
          <w:color w:val="252525"/>
          <w:shd w:fill="FFFFFF" w:val="clear"/>
          <w:lang w:val="es-AR"/>
        </w:rPr>
        <w:t>1.La destitución de la subjetividad y la puesta en cuestión de la intimidad: la deducción radical</w:t>
      </w:r>
    </w:p>
    <w:p>
      <w:pPr>
        <w:pStyle w:val="style0"/>
        <w:jc w:val="both"/>
      </w:pPr>
      <w:r>
        <w:rPr>
          <w:color w:val="252525"/>
          <w:shd w:fill="FFFFFF" w:val="clear"/>
          <w:lang w:val="es-AR"/>
        </w:rPr>
        <w:t>2. La intimidad traicionada: la imposibilidad de un amor a sí mismo</w:t>
      </w:r>
    </w:p>
    <w:p>
      <w:pPr>
        <w:pStyle w:val="style0"/>
        <w:jc w:val="both"/>
      </w:pPr>
      <w:r>
        <w:rPr>
          <w:color w:val="252525"/>
          <w:shd w:fill="FFFFFF" w:val="clear"/>
          <w:lang w:val="es-AR"/>
        </w:rPr>
        <w:t>3. El principio de razón insuficiente y la significación como rostro.</w:t>
      </w:r>
    </w:p>
    <w:p>
      <w:pPr>
        <w:pStyle w:val="style0"/>
        <w:jc w:val="both"/>
      </w:pPr>
      <w:r>
        <w:rPr>
          <w:color w:val="252525"/>
          <w:shd w:fill="FFFFFF" w:val="clear"/>
          <w:lang w:val="es-AR"/>
        </w:rPr>
        <w:t>4.La carne que se excita: la individualidad, gozar, la finitud</w:t>
      </w:r>
    </w:p>
    <w:p>
      <w:pPr>
        <w:pStyle w:val="style0"/>
        <w:jc w:val="both"/>
      </w:pPr>
      <w:r>
        <w:rPr>
          <w:color w:val="252525"/>
          <w:shd w:fill="FFFFFF" w:val="clear"/>
          <w:lang w:val="es-AR"/>
        </w:rPr>
        <w:t>5.La fidelidad como temporalidad erótica y la última resolución anticipatoria</w:t>
      </w:r>
    </w:p>
    <w:p>
      <w:pPr>
        <w:pStyle w:val="style0"/>
        <w:jc w:val="both"/>
      </w:pPr>
      <w:r>
        <w:rPr>
          <w:color w:val="252525"/>
          <w:shd w:fill="FFFFFF" w:val="clear"/>
          <w:lang w:val="es-AR"/>
        </w:rPr>
      </w:r>
    </w:p>
    <w:p>
      <w:pPr>
        <w:pStyle w:val="style0"/>
        <w:jc w:val="both"/>
      </w:pPr>
      <w:r>
        <w:rPr>
          <w:lang w:val="es-AR"/>
        </w:rPr>
        <w:t>Bibliografia :</w:t>
      </w:r>
    </w:p>
    <w:p>
      <w:pPr>
        <w:pStyle w:val="style0"/>
        <w:jc w:val="both"/>
      </w:pPr>
      <w:r>
        <w:rPr>
          <w:lang w:val="es-AR"/>
        </w:rPr>
      </w:r>
    </w:p>
    <w:p>
      <w:pPr>
        <w:pStyle w:val="style0"/>
        <w:shd w:fill="FFFFFF" w:val="clear"/>
        <w:spacing w:after="24" w:before="100"/>
        <w:jc w:val="both"/>
      </w:pPr>
      <w:r>
        <w:rPr>
          <w:color w:val="252525"/>
          <w:lang w:val="es-AR"/>
        </w:rPr>
        <w:t xml:space="preserve">-Marion, J.L., </w:t>
      </w:r>
      <w:r>
        <w:rPr>
          <w:i/>
          <w:color w:val="252525"/>
          <w:lang w:val="es-AR"/>
        </w:rPr>
        <w:t>Acerca de la donación. Una perspectiva fenomenológica</w:t>
      </w:r>
      <w:r>
        <w:rPr>
          <w:color w:val="252525"/>
          <w:lang w:val="es-AR"/>
        </w:rPr>
        <w:t xml:space="preserve">. Trad.: Gerardo Losada, Buenos Aires, </w:t>
      </w:r>
      <w:r>
        <w:rPr>
          <w:color w:val="252525"/>
        </w:rPr>
        <w:t>Jorge Baudino Ediciones – UNSAM, 2005.</w:t>
      </w:r>
    </w:p>
    <w:p>
      <w:pPr>
        <w:pStyle w:val="style0"/>
        <w:shd w:fill="FFFFFF" w:val="clear"/>
        <w:spacing w:after="24" w:before="100"/>
        <w:jc w:val="both"/>
      </w:pPr>
      <w:r>
        <w:rPr>
          <w:color w:val="252525"/>
          <w:lang w:val="es-AR"/>
        </w:rPr>
        <w:t xml:space="preserve">----------------, </w:t>
      </w:r>
      <w:r>
        <w:rPr>
          <w:i/>
          <w:color w:val="252525"/>
          <w:lang w:val="es-AR"/>
        </w:rPr>
        <w:t>El fenómeno erótico. Seis meditaciones</w:t>
      </w:r>
      <w:r>
        <w:rPr>
          <w:color w:val="252525"/>
          <w:lang w:val="es-AR"/>
        </w:rPr>
        <w:t xml:space="preserve">, Trad.: Silvio Mattoni,  Buenos Aires, </w:t>
      </w:r>
      <w:r>
        <w:rPr>
          <w:color w:val="252525"/>
        </w:rPr>
        <w:t>Ed. Literales: El Cuenco de Plata, 2005.</w:t>
      </w:r>
    </w:p>
    <w:p>
      <w:pPr>
        <w:pStyle w:val="style0"/>
        <w:shd w:fill="FFFFFF" w:val="clear"/>
        <w:spacing w:after="24" w:before="100"/>
        <w:jc w:val="both"/>
      </w:pPr>
      <w:r>
        <w:rPr>
          <w:color w:val="252525"/>
          <w:lang w:val="es-AR"/>
        </w:rPr>
        <w:t xml:space="preserve">---------------, </w:t>
      </w:r>
      <w:r>
        <w:rPr>
          <w:i/>
          <w:color w:val="252525"/>
          <w:lang w:val="es-AR"/>
        </w:rPr>
        <w:t>Reducción y donación. Investigaciones acerca de Husserl, Heidegger y la</w:t>
      </w:r>
      <w:r>
        <w:rPr>
          <w:color w:val="252525"/>
          <w:lang w:val="es-AR"/>
        </w:rPr>
        <w:t xml:space="preserve"> </w:t>
      </w:r>
      <w:r>
        <w:rPr>
          <w:i/>
          <w:color w:val="252525"/>
          <w:lang w:val="es-AR"/>
        </w:rPr>
        <w:t xml:space="preserve">fenomenología, </w:t>
      </w:r>
      <w:r>
        <w:rPr>
          <w:color w:val="252525"/>
          <w:lang w:val="es-AR"/>
        </w:rPr>
        <w:t>Buenos Aires, Prometeo Libros – UCA, 2012.</w:t>
      </w:r>
    </w:p>
    <w:p>
      <w:pPr>
        <w:pStyle w:val="style0"/>
        <w:shd w:fill="FFFFFF" w:val="clear"/>
        <w:spacing w:after="24" w:before="100"/>
        <w:jc w:val="both"/>
      </w:pPr>
      <w:r>
        <w:rPr>
          <w:color w:val="252525"/>
          <w:lang w:val="es-AR"/>
        </w:rPr>
        <w:t>---------------,“El interpelado”. Trad. Juan Luis Vermal, en: </w:t>
      </w:r>
      <w:r>
        <w:rPr>
          <w:i/>
          <w:color w:val="252525"/>
          <w:lang w:val="es-AR"/>
        </w:rPr>
        <w:t>Taula, Quaderns de pensement,</w:t>
      </w:r>
      <w:r>
        <w:rPr>
          <w:color w:val="252525"/>
          <w:lang w:val="es-AR"/>
        </w:rPr>
        <w:t xml:space="preserve"> No. 13-14, </w:t>
      </w:r>
      <w:r>
        <w:rPr>
          <w:color w:val="252525"/>
        </w:rPr>
        <w:t>Palma de Mayorca, 1990, pp. 87-97.</w:t>
      </w:r>
    </w:p>
    <w:p>
      <w:pPr>
        <w:pStyle w:val="style0"/>
        <w:shd w:fill="FFFFFF" w:val="clear"/>
        <w:spacing w:after="24" w:before="100"/>
        <w:jc w:val="both"/>
      </w:pPr>
      <w:r>
        <w:rPr>
          <w:color w:val="252525"/>
          <w:lang w:val="es-AR"/>
        </w:rPr>
        <w:t>---------------,“El sujeto en última instancia”, Trad.: Ramón Rodríguez, en: </w:t>
      </w:r>
      <w:r>
        <w:rPr>
          <w:i/>
          <w:color w:val="252525"/>
          <w:lang w:val="es-AR"/>
        </w:rPr>
        <w:t>Revista de</w:t>
      </w:r>
      <w:r>
        <w:rPr>
          <w:color w:val="252525"/>
          <w:lang w:val="es-AR"/>
        </w:rPr>
        <w:t xml:space="preserve"> </w:t>
      </w:r>
      <w:r>
        <w:rPr>
          <w:i/>
          <w:color w:val="252525"/>
          <w:lang w:val="es-AR"/>
        </w:rPr>
        <w:t>filosofía.</w:t>
      </w:r>
      <w:r>
        <w:rPr>
          <w:color w:val="252525"/>
          <w:lang w:val="es-AR"/>
        </w:rPr>
        <w:t xml:space="preserve"> </w:t>
      </w:r>
      <w:r>
        <w:rPr>
          <w:color w:val="252525"/>
        </w:rPr>
        <w:t>Vol. VI, No. 10, Editorial Complutense, Madrid, 1993, pp. 439-458.</w:t>
      </w:r>
    </w:p>
    <w:p>
      <w:pPr>
        <w:pStyle w:val="style0"/>
        <w:shd w:fill="FFFFFF" w:val="clear"/>
        <w:spacing w:after="24" w:before="100"/>
        <w:jc w:val="both"/>
      </w:pPr>
      <w:r>
        <w:rPr>
          <w:color w:val="252525"/>
        </w:rPr>
      </w:r>
    </w:p>
    <w:p>
      <w:pPr>
        <w:pStyle w:val="style25"/>
      </w:pPr>
      <w:r>
        <w:rPr>
          <w:rFonts w:ascii="Times New Roman" w:cs="Times New Roman" w:hAnsi="Times New Roman"/>
        </w:rPr>
        <w:t>CONDICIONES DE APROBACION:</w:t>
      </w:r>
    </w:p>
    <w:p>
      <w:pPr>
        <w:pStyle w:val="style0"/>
        <w:jc w:val="both"/>
      </w:pPr>
      <w:r>
        <w:rPr/>
      </w:r>
    </w:p>
    <w:p>
      <w:pPr>
        <w:pStyle w:val="style0"/>
        <w:jc w:val="both"/>
      </w:pPr>
      <w:r>
        <w:rPr/>
        <w:t>-Se requiere asistencia del 85% de las 14 clases.</w:t>
      </w:r>
    </w:p>
    <w:p>
      <w:pPr>
        <w:pStyle w:val="style0"/>
        <w:jc w:val="both"/>
      </w:pPr>
      <w:r>
        <w:rPr/>
        <w:t>-Para la acreditación del curso como seminario de Doctorado u otra instancia académica, el alumno debe presentar una monografía que será evaluada por el profesor dictante.</w:t>
      </w:r>
    </w:p>
    <w:p>
      <w:pPr>
        <w:pStyle w:val="style0"/>
        <w:jc w:val="both"/>
      </w:pPr>
      <w:r>
        <w:rPr/>
      </w:r>
    </w:p>
    <w:p>
      <w:pPr>
        <w:pStyle w:val="style0"/>
        <w:jc w:val="both"/>
      </w:pPr>
      <w:r>
        <w:rPr/>
      </w:r>
    </w:p>
    <w:p>
      <w:pPr>
        <w:pStyle w:val="style0"/>
        <w:shd w:fill="FFFFFF" w:val="clear"/>
        <w:spacing w:after="24" w:before="100"/>
        <w:jc w:val="both"/>
      </w:pPr>
      <w:r>
        <w:rPr>
          <w:color w:val="252525"/>
        </w:rPr>
      </w:r>
    </w:p>
    <w:p>
      <w:pPr>
        <w:pStyle w:val="style0"/>
        <w:jc w:val="both"/>
      </w:pPr>
      <w:r>
        <w:rPr>
          <w:color w:val="252525"/>
          <w:lang w:val="es-AR"/>
        </w:rPr>
      </w:r>
    </w:p>
    <w:p>
      <w:pPr>
        <w:pStyle w:val="style0"/>
        <w:jc w:val="both"/>
      </w:pPr>
      <w:r>
        <w:rPr>
          <w:lang w:val="es-AR"/>
        </w:rPr>
      </w:r>
    </w:p>
    <w:p>
      <w:pPr>
        <w:pStyle w:val="style0"/>
        <w:spacing w:line="360" w:lineRule="auto"/>
        <w:ind w:hanging="0" w:left="-709" w:right="-568"/>
        <w:jc w:val="both"/>
      </w:pPr>
      <w:r>
        <w:rPr/>
        <w:t xml:space="preserve">   </w:t>
      </w:r>
    </w:p>
    <w:p>
      <w:pPr>
        <w:pStyle w:val="style0"/>
        <w:ind w:hanging="0" w:left="170" w:right="-170"/>
        <w:jc w:val="both"/>
      </w:pPr>
      <w:r>
        <w:rPr>
          <w:u w:val="single"/>
        </w:rPr>
        <w:t>Coordinación</w:t>
      </w:r>
      <w:r>
        <w:rPr/>
        <w:t>:</w:t>
      </w:r>
    </w:p>
    <w:p>
      <w:pPr>
        <w:pStyle w:val="style0"/>
        <w:ind w:hanging="0" w:left="170" w:right="-170"/>
        <w:jc w:val="both"/>
      </w:pPr>
      <w:r>
        <w:rPr/>
        <w:t xml:space="preserve">Solange Camauër, Doctora en Filosofía (UBA) con la tesis ‘La vigencia del sujeto en la escritura’ (beca de la Universidad de Filosofía y Letras de la UBA -10, sobresaliente).  Docente UBA-APA (Maestría Subjetividad) y  IUSAM ha publicado diversos artículos científicos y ha participado en diversos congresos y encuentros de filosofía y literatura.  Ha publicado cuentos y poesías en medios especializados y la novelas </w:t>
      </w:r>
      <w:r>
        <w:rPr>
          <w:i/>
        </w:rPr>
        <w:t>Las Delicias del Jardín</w:t>
      </w:r>
      <w:r>
        <w:rPr/>
        <w:t xml:space="preserve"> (Sudamericana), </w:t>
      </w:r>
      <w:r>
        <w:rPr>
          <w:i/>
        </w:rPr>
        <w:t>Amores Velados</w:t>
      </w:r>
      <w:r>
        <w:rPr/>
        <w:t xml:space="preserve"> (Alfaguara), </w:t>
      </w:r>
      <w:r>
        <w:rPr>
          <w:i/>
        </w:rPr>
        <w:t>El Hijo</w:t>
      </w:r>
      <w:r>
        <w:rPr/>
        <w:t xml:space="preserve"> (Alfaguara). Premio Internacional de Novela Negra 2014 Getafe-Madrid con </w:t>
      </w:r>
      <w:r>
        <w:rPr>
          <w:i/>
        </w:rPr>
        <w:t>Sabiduría Elemental</w:t>
      </w:r>
      <w:r>
        <w:rPr/>
        <w:t xml:space="preserve"> (Edaf).  Realiza trabajo social relacionado con la literatura (Hospital de Clínicas, Salud Mental) y coordina talleres de filosofía y literatura.</w:t>
      </w:r>
    </w:p>
    <w:p>
      <w:pPr>
        <w:pStyle w:val="style0"/>
        <w:ind w:hanging="0" w:left="170" w:right="-170"/>
        <w:jc w:val="both"/>
      </w:pPr>
      <w:r>
        <w:rPr/>
      </w:r>
    </w:p>
    <w:p>
      <w:pPr>
        <w:pStyle w:val="style0"/>
        <w:ind w:hanging="0" w:left="170" w:right="-170"/>
        <w:jc w:val="both"/>
      </w:pPr>
      <w:r>
        <w:rPr>
          <w:u w:val="single"/>
        </w:rPr>
        <w:t>Profesor Invitado</w:t>
      </w:r>
      <w:r>
        <w:rPr/>
        <w:t>:</w:t>
      </w:r>
    </w:p>
    <w:p>
      <w:pPr>
        <w:pStyle w:val="style0"/>
        <w:ind w:hanging="0" w:left="170" w:right="-170"/>
        <w:jc w:val="both"/>
      </w:pPr>
      <w:r>
        <w:rPr>
          <w:rFonts w:cs="Calibri"/>
          <w:color w:val="191919"/>
          <w:lang w:eastAsia="en-US" w:val="es-ES"/>
        </w:rPr>
        <w:t>Licenciado Pablo Dreizik : docente en la facultad de Filosofía y Letras (UBA) en  las cátedras "Gnoseología" y "Problemas especiales de gnoseología". Ha publicado los libros "La memoria de las cenizas. Historia, Trauma y Representación" (2001)  y "Levinas y lo político" (2015) Participa de proyectos de investigación en la UBA sobre fenomenología -Edmund Husserl, Emmanuel Levinas-  y sobre problemas en la representación del pasado histórico traumático. </w:t>
      </w:r>
    </w:p>
    <w:p>
      <w:pPr>
        <w:pStyle w:val="style0"/>
        <w:ind w:hanging="0" w:left="170" w:right="-170"/>
        <w:jc w:val="both"/>
      </w:pPr>
      <w:r>
        <w:rPr/>
      </w:r>
    </w:p>
    <w:p>
      <w:pPr>
        <w:pStyle w:val="style0"/>
        <w:ind w:hanging="0" w:left="170" w:right="-170"/>
        <w:jc w:val="both"/>
      </w:pPr>
      <w:r>
        <w:rPr/>
      </w:r>
    </w:p>
    <w:p>
      <w:pPr>
        <w:pStyle w:val="style0"/>
        <w:ind w:hanging="0" w:left="170" w:right="-170"/>
        <w:jc w:val="both"/>
      </w:pPr>
      <w:r>
        <w:rPr/>
      </w:r>
    </w:p>
    <w:p>
      <w:pPr>
        <w:pStyle w:val="style0"/>
        <w:ind w:hanging="0" w:left="170" w:right="-170"/>
        <w:jc w:val="both"/>
      </w:pPr>
      <w:r>
        <w:rPr/>
      </w:r>
    </w:p>
    <w:p>
      <w:pPr>
        <w:pStyle w:val="style0"/>
        <w:jc w:val="both"/>
      </w:pPr>
      <w:r>
        <w:rPr/>
      </w:r>
    </w:p>
    <w:p>
      <w:pPr>
        <w:pStyle w:val="style0"/>
      </w:pPr>
      <w:r>
        <w:rPr/>
      </w:r>
    </w:p>
    <w:sectPr>
      <w:type w:val="nextPage"/>
      <w:pgSz w:h="16838" w:w="11906"/>
      <w:pgMar w:bottom="1417" w:footer="0" w:gutter="0" w:header="0" w:left="1701" w:right="1410"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rFonts w:ascii="Times New Roman" w:cs="Times New Roman" w:eastAsia="Times New Roman" w:hAnsi="Times New Roman"/>
      <w:color w:val="auto"/>
      <w:sz w:val="24"/>
      <w:szCs w:val="24"/>
      <w:lang w:bidi="ar-SA" w:eastAsia="es-ES" w:val="es-ES"/>
    </w:rPr>
  </w:style>
  <w:style w:styleId="style15" w:type="character">
    <w:name w:val="Default Paragraph Font"/>
    <w:next w:val="style15"/>
    <w:rPr/>
  </w:style>
  <w:style w:styleId="style16" w:type="character">
    <w:name w:val="Enlace de Internet"/>
    <w:next w:val="style16"/>
    <w:rPr>
      <w:color w:val="0000FF"/>
      <w:u w:val="single"/>
      <w:lang w:bidi="es-ES" w:eastAsia="es-ES" w:val="es-ES"/>
    </w:rPr>
  </w:style>
  <w:style w:styleId="style17" w:type="character">
    <w:name w:val="Destacado"/>
    <w:basedOn w:val="style15"/>
    <w:next w:val="style17"/>
    <w:rPr>
      <w:i/>
      <w:iCs/>
    </w:rPr>
  </w:style>
  <w:style w:styleId="style18" w:type="character">
    <w:name w:val="ListLabel 1"/>
    <w:next w:val="style18"/>
    <w:rPr>
      <w:rFonts w:cs="Times New Roman"/>
    </w:rPr>
  </w:style>
  <w:style w:styleId="style19" w:type="paragraph">
    <w:name w:val="Encabezado"/>
    <w:basedOn w:val="style0"/>
    <w:next w:val="style20"/>
    <w:pPr>
      <w:keepNext/>
      <w:spacing w:after="120" w:before="240"/>
    </w:pPr>
    <w:rPr>
      <w:rFonts w:ascii="Liberation Sans" w:cs="FreeSans" w:eastAsia="Droid Sans" w:hAnsi="Liberation Sans"/>
      <w:sz w:val="28"/>
      <w:szCs w:val="28"/>
    </w:rPr>
  </w:style>
  <w:style w:styleId="style20" w:type="paragraph">
    <w:name w:val="Cuerpo de texto"/>
    <w:basedOn w:val="style0"/>
    <w:next w:val="style20"/>
    <w:pPr>
      <w:spacing w:after="120" w:before="0"/>
    </w:pPr>
    <w:rPr/>
  </w:style>
  <w:style w:styleId="style21" w:type="paragraph">
    <w:name w:val="Lista"/>
    <w:basedOn w:val="style20"/>
    <w:next w:val="style21"/>
    <w:pPr/>
    <w:rPr>
      <w:rFonts w:cs="FreeSans"/>
    </w:rPr>
  </w:style>
  <w:style w:styleId="style22" w:type="paragraph">
    <w:name w:val="Etiqueta"/>
    <w:basedOn w:val="style0"/>
    <w:next w:val="style22"/>
    <w:pPr>
      <w:suppressLineNumbers/>
      <w:spacing w:after="120" w:before="120"/>
    </w:pPr>
    <w:rPr>
      <w:rFonts w:cs="FreeSans"/>
      <w:i/>
      <w:iCs/>
      <w:sz w:val="24"/>
      <w:szCs w:val="24"/>
    </w:rPr>
  </w:style>
  <w:style w:styleId="style23" w:type="paragraph">
    <w:name w:val="Índice"/>
    <w:basedOn w:val="style0"/>
    <w:next w:val="style23"/>
    <w:pPr>
      <w:suppressLineNumbers/>
    </w:pPr>
    <w:rPr>
      <w:rFonts w:cs="FreeSans"/>
    </w:rPr>
  </w:style>
  <w:style w:styleId="style24" w:type="paragraph">
    <w:name w:val="List Paragraph"/>
    <w:basedOn w:val="style0"/>
    <w:next w:val="style24"/>
    <w:pPr>
      <w:spacing w:after="200" w:before="0" w:line="276" w:lineRule="auto"/>
      <w:ind w:hanging="0" w:left="720" w:right="0"/>
    </w:pPr>
    <w:rPr>
      <w:rFonts w:ascii="Calibri" w:cs="" w:hAnsi="Calibri"/>
      <w:sz w:val="22"/>
      <w:szCs w:val="22"/>
      <w:lang w:eastAsia="en-US" w:val="en-US"/>
    </w:rPr>
  </w:style>
  <w:style w:styleId="style25" w:type="paragraph">
    <w:name w:val="Normal"/>
    <w:next w:val="style25"/>
    <w:pPr>
      <w:widowControl/>
      <w:tabs>
        <w:tab w:leader="none" w:pos="708" w:val="left"/>
      </w:tabs>
      <w:suppressAutoHyphens w:val="true"/>
    </w:pPr>
    <w:rPr>
      <w:rFonts w:ascii="Book Antiqua" w:cs="Book Antiqua" w:eastAsia="Times New Roman" w:hAnsi="Book Antiqua"/>
      <w:color w:val="000000"/>
      <w:sz w:val="24"/>
      <w:szCs w:val="24"/>
      <w:lang w:bidi="ar-SA" w:eastAsia="en-US" w:val="es-A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vista-artefacto.com.ar/"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200</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2017-02-18T19:01:00.00Z</dcterms:created>
  <dc:creator>Solange Camauër</dc:creator>
  <cp:lastModifiedBy>Solange Camauër</cp:lastModifiedBy>
  <dcterms:modified xsi:type="dcterms:W3CDTF">2017-03-06T13:40:00.00Z</dcterms:modified>
  <cp:revision>15</cp:revision>
</cp:coreProperties>
</file>