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2" w:rsidRDefault="00D05662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FUNDAMENTACIÓN</w:t>
      </w:r>
    </w:p>
    <w:p w:rsidR="00D05662" w:rsidRDefault="00D05662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Este programa está dedicado al estudio de ciertos procesos ocurridos en la historiografía occidental entre mediados del siglo XIX y la actualidad. Esos  procesos fueron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distinta naturaleza y entre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ellos se cuenta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 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estabilización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prácticas intelectuales que, se suponía, distinguían la tarea del historiador de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 de otros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intelectuales que 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también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solían indagar el pasado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así como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 constitución de una base institucional amplia, sólida y compleja, que hizo de la historia una disciplina universitaria importante en  muchos escenarios nacionales. Fue en ese espacio, transformado respecto de etapas anteriores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en el que los cambios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del s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iglo XX tuvieron lugar, involucrando discusiones sobre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 legitimidad de los modos de construcción de objetos de estudio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 sobre los modos de tratarlos, sobre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las claves que debían utilizarse para la comprensión amplia del pasado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y sobre cuáles eran las notas plenamente científicas de las prácticas y los productos de los historiadores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Si bien</w:t>
      </w:r>
      <w:r w:rsidR="00DD07E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muchos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estos fenómenos tienen una dimensión política inocultable, en esta ocasión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sin desatenderlos del todo, el foco estará puesto en su</w:t>
      </w:r>
      <w:r w:rsidR="003402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 aspectos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más</w:t>
      </w:r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plenamente historiográfico</w:t>
      </w:r>
      <w:r w:rsidR="003402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</w:t>
      </w:r>
      <w:bookmarkStart w:id="0" w:name="_GoBack"/>
      <w:bookmarkEnd w:id="0"/>
      <w:r w:rsidR="00F214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D05662" w:rsidRDefault="00D05662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947A3" w:rsidRP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947A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Describa los objetivos de la actividad curricular. </w:t>
      </w:r>
    </w:p>
    <w:p w:rsid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E947A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Que los asistentes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analicen críticamente algunos de las transformaciones más importantes ocurridas en la historiografía occidental, entre mediados del siglo XIX y la actualidad, en particular en los aspectos referidos a la base institucional, los debates metodológicos y los modos de concebir los objetos de estudio de la disciplina.</w:t>
      </w:r>
    </w:p>
    <w:p w:rsid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E947A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Que los asistentes examinen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algunas tradiciones historiográficas, programas de investigación y complejos institucionales cuyas propuestas resultan significativas para la historiografía actual</w:t>
      </w:r>
      <w:r w:rsidRPr="00E947A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</w:p>
    <w:p w:rsid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Que los asistentes indaguen algunos de las formas que asumió el diálogo interdisciplinario entre la historia y otras ciencias sociales a lo largo del período analizado</w:t>
      </w:r>
    </w:p>
    <w:p w:rsid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947A3" w:rsidRP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947A3" w:rsidRP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947A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8. Describa la modalidad de evaluación y requisitos de aprobación y promoción.</w:t>
      </w:r>
    </w:p>
    <w:p w:rsidR="00E947A3" w:rsidRPr="00E947A3" w:rsidRDefault="00E947A3" w:rsidP="00E947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947A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Serán evaluadas la exposición y la discusión en clase de algunos de los textos que constituyen la bibliografía.  El seminario será aprobado definitivamente a través de la presentación de un trabajo escrito; los temas y problemas a asumir en ese trabajo serán propuestos por el docente a cargo a lo largo del curso. Las actividades a realizar, así como la bibliografía que podrá discutirse estarán naturalmente condicionadas por el número de asistentes al curso</w:t>
      </w:r>
    </w:p>
    <w:p w:rsidR="00E17808" w:rsidRDefault="00E17808" w:rsidP="00E178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</w:pPr>
    </w:p>
    <w:p w:rsidR="00E17808" w:rsidRDefault="00E17808" w:rsidP="00E1780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</w:pPr>
    </w:p>
    <w:p w:rsidR="00864EAE" w:rsidRPr="00CA08DC" w:rsidRDefault="00864EAE" w:rsidP="00864E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HISTORIOGRAFÍA</w:t>
      </w:r>
    </w:p>
    <w:p w:rsidR="00864EAE" w:rsidRPr="00CA08DC" w:rsidRDefault="00864EAE" w:rsidP="00864E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Alejandro </w:t>
      </w:r>
      <w:proofErr w:type="spellStart"/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Cattaruzza</w:t>
      </w:r>
      <w:proofErr w:type="spellEnd"/>
    </w:p>
    <w:p w:rsidR="00864EAE" w:rsidRPr="00CA08DC" w:rsidRDefault="00864EAE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s-ES" w:eastAsia="es-ES"/>
        </w:rPr>
      </w:pPr>
    </w:p>
    <w:p w:rsidR="0014071F" w:rsidRPr="00CA08DC" w:rsidRDefault="00864EAE" w:rsidP="00864EA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proofErr w:type="gramStart"/>
      <w:r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1.La</w:t>
      </w:r>
      <w:proofErr w:type="gramEnd"/>
      <w:r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historiografía</w:t>
      </w:r>
      <w:r w:rsidR="00123C35"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occidental </w:t>
      </w:r>
      <w:r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entre mediados del siglo XIX y 1930</w:t>
      </w:r>
      <w:r w:rsidR="0014071F"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:  </w:t>
      </w:r>
      <w:r w:rsidR="00415F8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notas de un</w:t>
      </w:r>
      <w:r w:rsidR="0014071F"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cambio crucial</w:t>
      </w:r>
    </w:p>
    <w:p w:rsidR="00864EAE" w:rsidRPr="00CA08DC" w:rsidRDefault="00864EAE" w:rsidP="00864EA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proofErr w:type="gramStart"/>
      <w:r w:rsidRPr="00CA08D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1</w:t>
      </w:r>
      <w:r w:rsidRPr="00CA08D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.</w:t>
      </w:r>
      <w:r w:rsidRPr="00CA08D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Los</w:t>
      </w:r>
      <w:proofErr w:type="gramEnd"/>
      <w:r w:rsidRPr="00CA08D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problemas del método. </w:t>
      </w:r>
    </w:p>
    <w:p w:rsidR="00864EAE" w:rsidRPr="00CA08DC" w:rsidRDefault="00864EAE" w:rsidP="00864EA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2.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La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organización de la estructura institucional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y los límites de la profesionalización</w:t>
      </w:r>
    </w:p>
    <w:p w:rsidR="00864EAE" w:rsidRPr="00CA08DC" w:rsidRDefault="00BC629C" w:rsidP="00864EA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3.</w:t>
      </w:r>
      <w:r w:rsidR="00864EA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Vocación</w:t>
      </w:r>
      <w:proofErr w:type="gramEnd"/>
      <w:r w:rsidR="00864EA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científica e intervención 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política</w:t>
      </w:r>
    </w:p>
    <w:p w:rsidR="00C454C6" w:rsidRPr="00CA08DC" w:rsidRDefault="00C454C6" w:rsidP="00C4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454C6" w:rsidRPr="00CA08DC" w:rsidRDefault="00AE049E" w:rsidP="00C4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IGGERS, G: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“La ciencia histórica desde el historicismo clásico hasta la historia como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ciencia social analítica”, en 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C454C6" w:rsidRPr="00CA08DC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>La ciencia histórica en el siglo XX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Barcelona, Labor, 1995.</w:t>
      </w:r>
    </w:p>
    <w:p w:rsidR="00C454C6" w:rsidRPr="00CA08DC" w:rsidRDefault="00AE049E" w:rsidP="00C45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GRAFTON, A: </w:t>
      </w:r>
      <w:r w:rsidR="0014071F" w:rsidRPr="00CA08DC"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  <w:t>L</w:t>
      </w:r>
      <w:r w:rsidR="00C454C6" w:rsidRPr="00CA08DC">
        <w:rPr>
          <w:rFonts w:ascii="Times New Roman" w:eastAsia="Times New Roman" w:hAnsi="Times New Roman" w:cs="Times New Roman"/>
          <w:i/>
          <w:sz w:val="24"/>
          <w:szCs w:val="24"/>
          <w:lang w:val="es-MX" w:eastAsia="es-ES"/>
        </w:rPr>
        <w:t>os orígenes trágicos de la erudición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,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Buenos Aires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, FCE, 1998, páginas 7 a </w:t>
      </w:r>
      <w:proofErr w:type="gramStart"/>
      <w:r w:rsidR="00B37FB9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77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 </w:t>
      </w:r>
      <w:r w:rsidR="00C454C6" w:rsidRPr="00CA08DC">
        <w:rPr>
          <w:rFonts w:ascii="Times New Roman" w:eastAsia="Times New Roman" w:hAnsi="Times New Roman" w:cs="Times New Roman"/>
          <w:color w:val="FF0000"/>
          <w:sz w:val="24"/>
          <w:szCs w:val="24"/>
          <w:lang w:val="es-MX" w:eastAsia="es-ES"/>
        </w:rPr>
        <w:t>.</w:t>
      </w:r>
      <w:proofErr w:type="gramEnd"/>
    </w:p>
    <w:p w:rsidR="00AE049E" w:rsidRPr="00CA08DC" w:rsidRDefault="00AE049E" w:rsidP="00C4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BOURDÉ, </w:t>
      </w:r>
      <w:r w:rsidR="0097740C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G. 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y</w:t>
      </w:r>
      <w:proofErr w:type="gramEnd"/>
      <w:r w:rsidR="0014071F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H. MARTIN: </w:t>
      </w:r>
      <w:r w:rsidR="0097740C" w:rsidRPr="00CA08D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Las</w:t>
      </w:r>
      <w:r w:rsidR="0097740C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97740C" w:rsidRPr="00CA08D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escuelas históricas</w:t>
      </w:r>
      <w:r w:rsidR="0041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Madrid, </w:t>
      </w:r>
      <w:proofErr w:type="spellStart"/>
      <w:r w:rsidR="0041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Akal</w:t>
      </w:r>
      <w:proofErr w:type="spellEnd"/>
      <w:r w:rsidR="00415F8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1992,  capítulo 8 “La escuela metódica”</w:t>
      </w:r>
    </w:p>
    <w:p w:rsidR="00C42FFF" w:rsidRPr="00CA08DC" w:rsidRDefault="00AE049E" w:rsidP="00C4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NOIRIEL, G.: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C42FFF" w:rsidRPr="00CA08D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Sobre la crisis de la historia, 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Madrid, </w:t>
      </w:r>
      <w:proofErr w:type="spellStart"/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Fr</w:t>
      </w:r>
      <w:r w:rsidR="00EB13CA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ónesis</w:t>
      </w:r>
      <w:proofErr w:type="spellEnd"/>
      <w:r w:rsidR="00EB13CA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/Cátedra, 1997; capítulo 6: ’Nacimiento del oficio del historiador”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97740C" w:rsidRPr="00E17808" w:rsidRDefault="0097740C" w:rsidP="00977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</w:pPr>
    </w:p>
    <w:p w:rsidR="00864EAE" w:rsidRPr="0097740C" w:rsidRDefault="00864EAE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</w:p>
    <w:p w:rsidR="00D73866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s-ES" w:eastAsia="es-ES"/>
        </w:rPr>
      </w:pPr>
    </w:p>
    <w:p w:rsidR="00864EAE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>2.De</w:t>
      </w:r>
      <w:proofErr w:type="gramEnd"/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 xml:space="preserve"> la aparición de los </w:t>
      </w:r>
      <w:proofErr w:type="spellStart"/>
      <w:r w:rsidRPr="00CA08D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 w:bidi="he-IL"/>
        </w:rPr>
        <w:t>Annales</w:t>
      </w:r>
      <w:proofErr w:type="spellEnd"/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 xml:space="preserve"> a mediados de los años setenta:  la historia económica y social, la larga duración y la cuantificación. La historia, ciencia social</w:t>
      </w:r>
    </w:p>
    <w:p w:rsidR="00AE049E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1</w:t>
      </w:r>
      <w:r w:rsidR="00864EA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Los </w:t>
      </w:r>
      <w:proofErr w:type="spellStart"/>
      <w:r w:rsidR="00864EAE" w:rsidRPr="00CA08DC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Annales</w:t>
      </w:r>
      <w:proofErr w:type="spellEnd"/>
      <w:r w:rsidR="00864EA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: destino </w:t>
      </w:r>
      <w:r w:rsidR="00AE049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complejo </w:t>
      </w:r>
      <w:r w:rsidR="00864EA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de una “pequeña revolución intelectual”</w:t>
      </w:r>
      <w:r w:rsidR="00AE049E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</w:t>
      </w:r>
    </w:p>
    <w:p w:rsidR="00D73866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2. </w:t>
      </w:r>
      <w:r w:rsid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Los años sesenta: e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l marxismo británico</w:t>
      </w:r>
    </w:p>
    <w:p w:rsidR="00D73866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3.La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Nueva Historia a mediados de los setenta: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¿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expansión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infinita</w:t>
      </w: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 lo</w:t>
      </w:r>
      <w:r w:rsidR="00C42FFF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s objetos de estudio o crisis?</w:t>
      </w:r>
    </w:p>
    <w:p w:rsidR="00C454C6" w:rsidRPr="00CA08DC" w:rsidRDefault="00D7386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4.Diálogos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interdisciplinarios</w:t>
      </w:r>
      <w:r w:rsidR="00C454C6"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</w:t>
      </w:r>
    </w:p>
    <w:p w:rsidR="00AE049E" w:rsidRPr="00C743AD" w:rsidRDefault="00415F8D" w:rsidP="00AE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REVEL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J.: “Historia y ciencias sociales: los paradigmas de los </w:t>
      </w:r>
      <w:proofErr w:type="spellStart"/>
      <w:r w:rsidR="00C743AD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Annales</w:t>
      </w:r>
      <w:proofErr w:type="spellEnd"/>
      <w:r w:rsidR="00C743AD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”,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</w:t>
      </w:r>
      <w:r w:rsidR="00E974B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J.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REVEL.: </w:t>
      </w:r>
      <w:r w:rsidR="00C743AD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Un momento historiográfico. Trece ensayos de historia social,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Buenos Aires, Manantial, 2005</w:t>
      </w:r>
    </w:p>
    <w:p w:rsidR="0097740C" w:rsidRDefault="00AE049E" w:rsidP="00415F8D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KAYE, H:</w:t>
      </w:r>
      <w:r w:rsidR="0097740C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97740C" w:rsidRPr="00CA08DC">
        <w:rPr>
          <w:rFonts w:ascii="Times New Roman" w:eastAsia="Times New Roman" w:hAnsi="Times New Roman" w:cs="Times New Roman"/>
          <w:bCs/>
          <w:i/>
          <w:sz w:val="24"/>
          <w:szCs w:val="24"/>
          <w:lang w:val="es-ES" w:eastAsia="es-ES"/>
        </w:rPr>
        <w:t>Los historiadores marxistas británicos</w:t>
      </w:r>
      <w:r w:rsidR="0097740C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Universidad de Zaragoza, 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1989;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Capítulo 7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“</w:t>
      </w:r>
      <w:r w:rsidR="00B37FB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contribución colectiva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</w:t>
      </w:r>
      <w:r w:rsidR="0097740C" w:rsidRPr="00CA0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415F8D" w:rsidRDefault="00415F8D" w:rsidP="00415F8D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BURKE, P.: “Obertura: la Nueva Historia, su pasado y su futuro”, en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BURKE, P. (ed.): </w:t>
      </w:r>
      <w:r w:rsidR="00C743AD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Formas de hacer historia, </w:t>
      </w:r>
      <w:r w:rsidR="00C743A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Madrid, Alianza, 1993 </w:t>
      </w:r>
    </w:p>
    <w:p w:rsidR="00C743AD" w:rsidRPr="00C743AD" w:rsidRDefault="00C743AD" w:rsidP="00415F8D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DOSSE, F.: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La historia en migajas.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Annales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a  la “nueva historia”,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México, UIA, 2006 [1987]; selección</w:t>
      </w:r>
    </w:p>
    <w:p w:rsidR="00C454C6" w:rsidRPr="0097740C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</w:p>
    <w:p w:rsidR="00C454C6" w:rsidRPr="00CA08DC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  <w:r w:rsidRPr="00CA08DC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>3. De mediados de los setenta a la actualidad: el giro lingüístico y después</w:t>
      </w:r>
    </w:p>
    <w:p w:rsidR="00D73866" w:rsidRPr="00CA08DC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1.El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llamado giro lingüístico y la impugnación a la condición científica del saber histórico</w:t>
      </w:r>
    </w:p>
    <w:p w:rsidR="00C454C6" w:rsidRPr="00CA08DC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2.Nuevas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escalas de análisis y atención a las estrategias de los actores: la exploración de los límites de la determinación estructural. La historia cultural en expansión</w:t>
      </w:r>
    </w:p>
    <w:p w:rsidR="00D73866" w:rsidRPr="00CA08DC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3.Reorientaciones</w:t>
      </w:r>
      <w:proofErr w:type="gramEnd"/>
      <w:r w:rsidRPr="00CA08DC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en los diálogos interdisciplinarios</w:t>
      </w:r>
    </w:p>
    <w:p w:rsidR="00C42FFF" w:rsidRPr="00C42FFF" w:rsidRDefault="00AE049E" w:rsidP="00C4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NOIRIEL, G.</w:t>
      </w:r>
      <w:r w:rsidR="00C42FFF" w:rsidRPr="00C42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  <w:r w:rsidR="00C42FFF" w:rsidRPr="00C42FFF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Sobre la crisis de la historia, </w:t>
      </w:r>
      <w:r w:rsidR="00C42FFF" w:rsidRPr="00C42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Madrid, </w:t>
      </w:r>
      <w:proofErr w:type="spellStart"/>
      <w:r w:rsidR="00C42FFF" w:rsidRPr="00C42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Frónesis</w:t>
      </w:r>
      <w:proofErr w:type="spellEnd"/>
      <w:r w:rsidR="00C42FFF" w:rsidRPr="00C42F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/Cátedra, 1997; capítulo 4, “La crisis de los ‘paradigmas’”.</w:t>
      </w:r>
    </w:p>
    <w:p w:rsidR="00C42FFF" w:rsidRPr="00C42FFF" w:rsidRDefault="00AE049E" w:rsidP="00C42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SPIEGEL, G.</w:t>
      </w:r>
      <w:r w:rsidR="00C42FFF" w:rsidRPr="00C42FF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: “Historia, historicismo y lógica social del t</w:t>
      </w:r>
      <w:r w:rsidR="00CA08D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exto en la Edad Media”, en PERUS</w:t>
      </w:r>
      <w:r w:rsidR="00C42FFF" w:rsidRPr="00C42FF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, F.: </w:t>
      </w:r>
      <w:r w:rsidR="00C42FFF" w:rsidRPr="00C42F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 w:eastAsia="es-ES"/>
        </w:rPr>
        <w:t>Historia y literatura</w:t>
      </w:r>
      <w:r w:rsidR="00C42FFF" w:rsidRPr="00C42FF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, México, Instituto Mora, 1994</w:t>
      </w:r>
    </w:p>
    <w:p w:rsidR="00BC629C" w:rsidRDefault="00AE049E" w:rsidP="00BC62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  <w:t>LEVI, G.</w:t>
      </w:r>
      <w:r w:rsidR="00BC629C" w:rsidRPr="00E17808"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  <w:t>: “S</w:t>
      </w:r>
      <w:r w:rsidR="00CA08DC"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  <w:t>obre microhistoria”, en P. BURKE</w:t>
      </w:r>
      <w:r w:rsidR="00BC629C" w:rsidRPr="00E17808"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  <w:t xml:space="preserve">, </w:t>
      </w:r>
      <w:r w:rsidR="00BC629C" w:rsidRPr="00E1780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s-ES" w:eastAsia="es-ES"/>
        </w:rPr>
        <w:t xml:space="preserve">Formas de hacer historia, </w:t>
      </w:r>
      <w:r w:rsidR="00BC629C" w:rsidRPr="00E17808">
        <w:rPr>
          <w:rFonts w:ascii="Times New Roman" w:eastAsia="Times New Roman" w:hAnsi="Times New Roman" w:cs="Times New Roman"/>
          <w:spacing w:val="-3"/>
          <w:sz w:val="24"/>
          <w:szCs w:val="24"/>
          <w:lang w:val="es-ES" w:eastAsia="es-ES"/>
        </w:rPr>
        <w:t xml:space="preserve">Madrid, Alianza, 1996. </w:t>
      </w:r>
    </w:p>
    <w:p w:rsidR="00C42FFF" w:rsidRPr="00E974B7" w:rsidRDefault="00E974B7" w:rsidP="00E9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GINZBURG, C.: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El hilo y las huellas. Lo verdadero, lo falso, lo ficticio,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Buenos Aires, FCE, 2010</w:t>
      </w:r>
      <w:r w:rsidR="00E947A3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[Selección]</w:t>
      </w:r>
    </w:p>
    <w:p w:rsidR="0097740C" w:rsidRDefault="00AE049E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  <w:t xml:space="preserve"> </w:t>
      </w:r>
    </w:p>
    <w:p w:rsidR="00AE049E" w:rsidRPr="0097740C" w:rsidRDefault="00AE049E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</w:p>
    <w:p w:rsidR="00CB5310" w:rsidRDefault="00CB5310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>4.Arqueólogos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 xml:space="preserve"> e historiadores</w:t>
      </w:r>
      <w:r w:rsidR="00F6131A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 xml:space="preserve">: miradas </w:t>
      </w:r>
    </w:p>
    <w:p w:rsidR="00CB5310" w:rsidRDefault="00F6131A" w:rsidP="00E9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LEROI-GOURHAN, A</w:t>
      </w:r>
      <w:r w:rsidR="00CB5310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: “Las vías de la historia antes de la escritura”, en LE GOFF, J. y P. NORA (</w:t>
      </w:r>
      <w:proofErr w:type="spellStart"/>
      <w:r w:rsidR="00CB5310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dirs</w:t>
      </w:r>
      <w:proofErr w:type="spellEnd"/>
      <w:r w:rsidR="00CB5310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.): </w:t>
      </w:r>
      <w:r w:rsidR="00CB5310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Hacer la historia, </w:t>
      </w:r>
      <w:r w:rsidR="00CB5310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Barcelona, Laia, 1984 [1974]</w:t>
      </w:r>
    </w:p>
    <w:p w:rsidR="00CB5310" w:rsidRDefault="00CB5310" w:rsidP="00E9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p w:rsidR="00CB5310" w:rsidRPr="00F6131A" w:rsidRDefault="00F6131A" w:rsidP="00E97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SCHNAPP, A.: “Arqueología”; entrada correspondiente en BURGUIÈRE, A.: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Diccionario de ciencias históricas,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Madrid,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Akal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2005 [1986]</w:t>
      </w:r>
    </w:p>
    <w:p w:rsidR="00CB5310" w:rsidRPr="00CB5310" w:rsidRDefault="00CB5310" w:rsidP="00E97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</w:p>
    <w:p w:rsidR="00C454C6" w:rsidRDefault="00C454C6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</w:p>
    <w:p w:rsidR="00F214C1" w:rsidRDefault="00F214C1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 w:bidi="he-IL"/>
        </w:rPr>
      </w:pPr>
    </w:p>
    <w:p w:rsidR="00F214C1" w:rsidRDefault="00F214C1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  <w:t>BIBLIOGRAFÍA GENERAL</w:t>
      </w:r>
    </w:p>
    <w:p w:rsidR="00DF73F7" w:rsidRDefault="00DF73F7" w:rsidP="00DF73F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BACZKO, B: </w:t>
      </w:r>
      <w:r w:rsidRPr="00F214C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s-ES_tradnl" w:eastAsia="es-ES" w:bidi="he-IL"/>
        </w:rPr>
        <w:t xml:space="preserve">Los imaginarios sociales. Memorias y esperanzas colectivas, </w:t>
      </w: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Bs.As.,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 Nueva Visión, 1991</w:t>
      </w:r>
    </w:p>
    <w:p w:rsidR="00DF73F7" w:rsidRPr="00F214C1" w:rsidRDefault="00DF73F7" w:rsidP="00DF7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BÉDARIDA, F. (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dir.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):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L’ </w:t>
      </w:r>
      <w:proofErr w:type="spellStart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histoire</w:t>
      </w:r>
      <w:proofErr w:type="spellEnd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 et le </w:t>
      </w:r>
      <w:proofErr w:type="spellStart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métier</w:t>
      </w:r>
      <w:proofErr w:type="spellEnd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 </w:t>
      </w:r>
      <w:proofErr w:type="spellStart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d’historien</w:t>
      </w:r>
      <w:proofErr w:type="spellEnd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 en France 1945-1995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, Paris,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Éditions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 la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Masion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des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sciences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 de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l’homme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1995</w:t>
      </w:r>
    </w:p>
    <w:p w:rsidR="00F214C1" w:rsidRP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lastRenderedPageBreak/>
        <w:t>BOURDIEU, P.: “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El campo científico” (1976), en Redes Revista de Estudios Sociales de la Ciencia,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UNQuilmes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Vol. 1, número 2, dic.1994</w:t>
      </w:r>
    </w:p>
    <w:p w:rsid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BOURDIEU, P.: “Algunas propiedades de los campos” (1976), en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Campo de poder, campo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i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ntelectual, 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Bs.As.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Quadrata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2003</w:t>
      </w:r>
    </w:p>
    <w:p w:rsidR="00DF73F7" w:rsidRPr="00F214C1" w:rsidRDefault="00DF73F7" w:rsidP="00DF73F7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BRAUDEL, F.: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La historia y las ciencias sociales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Madrid, Alianza, 1980.</w:t>
      </w:r>
    </w:p>
    <w:p w:rsidR="00DF73F7" w:rsidRDefault="00DF73F7" w:rsidP="00DF73F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BURKE, P.: “Orígenes de la historia cultural” y “Unidad y variedad en la historia cultural”, en </w:t>
      </w:r>
      <w:r w:rsidRPr="00F214C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s-ES_tradnl" w:eastAsia="es-ES" w:bidi="he-IL"/>
        </w:rPr>
        <w:t>Formas de historia cultural</w:t>
      </w: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, Madrid, Alianza, 2000</w:t>
      </w:r>
    </w:p>
    <w:p w:rsidR="00DF73F7" w:rsidRPr="00F214C1" w:rsidRDefault="00DF73F7" w:rsidP="00DF73F7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BURKE, P.: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Sociología e historia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Madrid, Alianza, 1987</w:t>
      </w:r>
    </w:p>
    <w:p w:rsidR="009D6701" w:rsidRPr="00F214C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CASANOVA, J.: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La historia social y los historiadores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Barcelona, Crítica, 2003 [2ª edición]</w:t>
      </w:r>
    </w:p>
    <w:p w:rsidR="00DF73F7" w:rsidRDefault="00DF73F7" w:rsidP="009D670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CATTARUZZA, A.: </w:t>
      </w:r>
      <w:r w:rsidRPr="00DF73F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es-ES_tradnl" w:eastAsia="es-ES"/>
        </w:rPr>
        <w:t xml:space="preserve">“Dimensiones políticas y cuestiones historiográficas en las investigaciones históricas sobre la memoria” en </w:t>
      </w:r>
      <w:proofErr w:type="spellStart"/>
      <w:r w:rsidRPr="00DF73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val="es-ES_tradnl" w:eastAsia="es-ES"/>
        </w:rPr>
        <w:t>Storiografia</w:t>
      </w:r>
      <w:proofErr w:type="spellEnd"/>
      <w:r w:rsidRPr="00DF73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val="es-ES_tradnl" w:eastAsia="es-ES"/>
        </w:rPr>
        <w:t xml:space="preserve">, </w:t>
      </w:r>
      <w:r w:rsidRPr="00DF73F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es-ES_tradnl" w:eastAsia="es-ES"/>
        </w:rPr>
        <w:t xml:space="preserve"> Roma/Pisa, número 12, 2012</w:t>
      </w:r>
    </w:p>
    <w:p w:rsidR="009D6701" w:rsidRPr="00F214C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HOBSBAWM, E.: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“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La contribución de Kart Marx a la historiografía”, en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 xml:space="preserve">Marxismo e historia social, 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Puebla, Universidad Autónoma de Puebla, 1983</w:t>
      </w:r>
    </w:p>
    <w:p w:rsidR="009D6701" w:rsidRPr="00F214C1" w:rsidRDefault="009D6701" w:rsidP="009D67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HOBSBAWM, E.: “La historia de la identidad no es suficiente”, en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 xml:space="preserve">Sobre la historia, 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Barcelona, Crítica, 2003.</w:t>
      </w:r>
    </w:p>
    <w:p w:rsidR="009D6701" w:rsidRPr="00F214C1" w:rsidRDefault="009D6701" w:rsidP="009D670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HOURCADE, E., GODOY, C. Y BOTALLA, H.: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Luz y contraluz de una historia antropológica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,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Bs.As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,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Biblos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1995</w:t>
      </w:r>
    </w:p>
    <w:p w:rsidR="009D6701" w:rsidRPr="00F214C1" w:rsidRDefault="009D6701" w:rsidP="009D670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 xml:space="preserve">JULIA, S.: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" w:eastAsia="es-ES" w:bidi="he-IL"/>
        </w:rPr>
        <w:t>Historia social/sociología histórica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  <w:t>, Madrid, Siglo XXI, 1989</w:t>
      </w:r>
    </w:p>
    <w:p w:rsidR="00DF73F7" w:rsidRPr="00F214C1" w:rsidRDefault="00DF73F7" w:rsidP="00DF73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_tradnl" w:eastAsia="es-ES" w:bidi="he-IL"/>
        </w:rPr>
        <w:t>KELLEY, D.</w:t>
      </w:r>
      <w:r w:rsidRPr="00F21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_tradnl" w:eastAsia="es-ES" w:bidi="he-IL"/>
        </w:rPr>
        <w:t>: “El giro cultural en la investigación histórica”, en OLÁBARRI, I. y CAPISTEGUI, F</w:t>
      </w:r>
      <w:proofErr w:type="gramStart"/>
      <w:r w:rsidRPr="00F21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_tradnl" w:eastAsia="es-ES" w:bidi="he-IL"/>
        </w:rPr>
        <w:t>.(</w:t>
      </w:r>
      <w:proofErr w:type="gramEnd"/>
      <w:r w:rsidRPr="00F21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_tradnl" w:eastAsia="es-ES" w:bidi="he-IL"/>
        </w:rPr>
        <w:t xml:space="preserve">directores): </w:t>
      </w:r>
      <w:r w:rsidRPr="00F214C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  <w:t xml:space="preserve">La ‘nueva’ historia cultural: la influencia del </w:t>
      </w:r>
      <w:proofErr w:type="spellStart"/>
      <w:r w:rsidRPr="00F214C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  <w:t>postestructuralismo</w:t>
      </w:r>
      <w:proofErr w:type="spellEnd"/>
      <w:r w:rsidRPr="00F214C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  <w:t xml:space="preserve"> y el auge de la </w:t>
      </w:r>
      <w:proofErr w:type="spellStart"/>
      <w:r w:rsidRPr="00F214C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  <w:t>interdisicplinariedad</w:t>
      </w:r>
      <w:proofErr w:type="spellEnd"/>
      <w:r w:rsidRPr="00F214C1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s-ES_tradnl" w:eastAsia="es-ES" w:bidi="he-IL"/>
        </w:rPr>
        <w:t>.</w:t>
      </w:r>
      <w:r w:rsidRPr="00F21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_tradnl" w:eastAsia="es-ES" w:bidi="he-IL"/>
        </w:rPr>
        <w:t xml:space="preserve"> </w:t>
      </w:r>
      <w:r w:rsidRPr="00F214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ES" w:eastAsia="es-ES" w:bidi="he-IL"/>
        </w:rPr>
        <w:t>Madrid, Complutense, 1996</w:t>
      </w:r>
    </w:p>
    <w:p w:rsid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 xml:space="preserve">MASTROGREGORI, M.: </w:t>
      </w:r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_tradnl" w:eastAsia="es-ES" w:bidi="he-IL"/>
        </w:rPr>
        <w:t xml:space="preserve">El manuscrito interrumpido de Marc </w:t>
      </w:r>
      <w:proofErr w:type="spellStart"/>
      <w:r w:rsidRPr="00F214C1">
        <w:rPr>
          <w:rFonts w:ascii="Times New Roman" w:eastAsia="Times New Roman" w:hAnsi="Times New Roman" w:cs="Times New Roman"/>
          <w:i/>
          <w:sz w:val="24"/>
          <w:szCs w:val="24"/>
          <w:lang w:val="es-ES_tradnl" w:eastAsia="es-ES" w:bidi="he-IL"/>
        </w:rPr>
        <w:t>Bloch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s-ES_tradnl" w:eastAsia="es-ES" w:bidi="he-IL"/>
        </w:rPr>
        <w:t>, México, FCE, 1999.</w:t>
      </w:r>
    </w:p>
    <w:p w:rsid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</w:pPr>
      <w:r w:rsidRPr="00F214C1"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 xml:space="preserve">NOVICK, P.: </w:t>
      </w:r>
      <w:r w:rsidRPr="00F214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 w:bidi="he-IL"/>
        </w:rPr>
        <w:t>That noble dream: the objectivity question and the American historical profession</w:t>
      </w:r>
      <w:r w:rsidRPr="00F214C1"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 xml:space="preserve">, Cambridge, 1988 [hay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>traducción</w:t>
      </w:r>
      <w:proofErr w:type="spellEnd"/>
      <w:r w:rsidRPr="00F214C1"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 xml:space="preserve"> </w:t>
      </w:r>
      <w:proofErr w:type="spellStart"/>
      <w:r w:rsidRPr="00F214C1"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>castellana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 w:bidi="he-IL"/>
        </w:rPr>
        <w:t>]</w:t>
      </w:r>
    </w:p>
    <w:p w:rsidR="009D6701" w:rsidRPr="00F214C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 w:bidi="he-IL"/>
        </w:rPr>
        <w:t xml:space="preserve">PALTI, E.: </w:t>
      </w:r>
      <w:r w:rsidRPr="00F214C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 w:eastAsia="es-ES" w:bidi="he-IL"/>
        </w:rPr>
        <w:t>Giro lingüístico e historia intelectual</w:t>
      </w:r>
      <w:r w:rsidRPr="00F214C1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 w:bidi="he-IL"/>
        </w:rPr>
        <w:t>, Quilmes, Universidad Nacional de Quilmes, 1998</w:t>
      </w:r>
    </w:p>
    <w:p w:rsidR="009D6701" w:rsidRPr="00F214C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RIOUX, J-P. </w:t>
      </w:r>
      <w:proofErr w:type="gramStart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y</w:t>
      </w:r>
      <w:proofErr w:type="gramEnd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 SIRINELLI, J-F (</w:t>
      </w:r>
      <w:proofErr w:type="spellStart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dirs</w:t>
      </w:r>
      <w:proofErr w:type="spellEnd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.): </w:t>
      </w:r>
      <w:r w:rsidRPr="00F214C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s-ES_tradnl" w:eastAsia="es-ES" w:bidi="he-IL"/>
        </w:rPr>
        <w:t>Para una historia cultural</w:t>
      </w: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, Madrid, Taurus, 1999</w:t>
      </w:r>
    </w:p>
    <w:p w:rsidR="00DF73F7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ROSSI, P.: </w:t>
      </w:r>
      <w:r w:rsidRPr="00F214C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s-ES_tradnl" w:eastAsia="es-ES" w:bidi="he-IL"/>
        </w:rPr>
        <w:t xml:space="preserve">El pasado, la memoria, el olvido. Ocho ensayos de historia de las ideas, </w:t>
      </w:r>
      <w:proofErr w:type="spellStart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Bs.As</w:t>
      </w:r>
      <w:proofErr w:type="spellEnd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, </w:t>
      </w:r>
    </w:p>
    <w:p w:rsidR="00F214C1" w:rsidRP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Nueva Visión, 2003</w:t>
      </w:r>
    </w:p>
    <w:p w:rsidR="009D6701" w:rsidRPr="00F214C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s-ES" w:bidi="he-IL"/>
        </w:rPr>
      </w:pPr>
      <w:r w:rsidRPr="00F214C1">
        <w:rPr>
          <w:rFonts w:ascii="Times New Roman" w:eastAsia="Times New Roman" w:hAnsi="Times New Roman" w:cs="Times New Roman"/>
          <w:iCs/>
          <w:sz w:val="24"/>
          <w:szCs w:val="24"/>
          <w:lang w:val="en-US" w:eastAsia="es-ES" w:bidi="he-IL"/>
        </w:rPr>
        <w:lastRenderedPageBreak/>
        <w:t xml:space="preserve">SMITH, P.: “Political history in the 1980’s. </w:t>
      </w:r>
      <w:proofErr w:type="gramStart"/>
      <w:r w:rsidRPr="00F214C1">
        <w:rPr>
          <w:rFonts w:ascii="Times New Roman" w:eastAsia="Times New Roman" w:hAnsi="Times New Roman" w:cs="Times New Roman"/>
          <w:iCs/>
          <w:sz w:val="24"/>
          <w:szCs w:val="24"/>
          <w:lang w:val="en-US" w:eastAsia="es-ES" w:bidi="he-IL"/>
        </w:rPr>
        <w:t xml:space="preserve">A view from Latin American”, en </w:t>
      </w:r>
      <w:r w:rsidRPr="00F214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 w:bidi="he-IL"/>
        </w:rPr>
        <w:t>Journal of Interdisciplinary History</w:t>
      </w:r>
      <w:r w:rsidRPr="00F214C1">
        <w:rPr>
          <w:rFonts w:ascii="Times New Roman" w:eastAsia="Times New Roman" w:hAnsi="Times New Roman" w:cs="Times New Roman"/>
          <w:iCs/>
          <w:sz w:val="24"/>
          <w:szCs w:val="24"/>
          <w:lang w:val="en-US" w:eastAsia="es-ES" w:bidi="he-IL"/>
        </w:rPr>
        <w:t>, nº 1, 1981.</w:t>
      </w:r>
      <w:proofErr w:type="gramEnd"/>
    </w:p>
    <w:p w:rsidR="00F214C1" w:rsidRP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VIDAL-NAQUET, P.: "Introducción: memoria e historia", en </w:t>
      </w:r>
      <w:r w:rsidRPr="00F214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s-ES_tradnl" w:eastAsia="es-ES" w:bidi="he-IL"/>
        </w:rPr>
        <w:t>Los judíos la memoria y el presente</w:t>
      </w: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, Buenos Aires, FCE, 1995 [1a. ed. francesa 1994]</w:t>
      </w:r>
    </w:p>
    <w:p w:rsidR="00F214C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VV.AA.: "¿Qué es la historia intelectual?" en </w:t>
      </w:r>
      <w:proofErr w:type="spellStart"/>
      <w:r w:rsidRPr="00F214C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s-ES_tradnl" w:eastAsia="es-ES" w:bidi="he-IL"/>
        </w:rPr>
        <w:t>Debats</w:t>
      </w:r>
      <w:proofErr w:type="spellEnd"/>
      <w:r w:rsidRPr="00F214C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, Valencia, nº 16, junio 1986</w:t>
      </w:r>
    </w:p>
    <w:p w:rsidR="009D6701" w:rsidRDefault="009D6701" w:rsidP="009D670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</w:pPr>
      <w:r w:rsidRPr="009D670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WHITE, H..</w:t>
      </w:r>
      <w:proofErr w:type="gramStart"/>
      <w:r w:rsidRPr="009D670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>:</w:t>
      </w:r>
      <w:proofErr w:type="gramEnd"/>
      <w:r w:rsidRPr="009D670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 "Introducción", en </w:t>
      </w:r>
      <w:proofErr w:type="spellStart"/>
      <w:r w:rsidRPr="009D670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es-ES_tradnl" w:eastAsia="es-ES" w:bidi="he-IL"/>
        </w:rPr>
        <w:t>Metahistoria</w:t>
      </w:r>
      <w:proofErr w:type="spellEnd"/>
      <w:r w:rsidRPr="009D6701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" w:bidi="he-IL"/>
        </w:rPr>
        <w:t xml:space="preserve"> [...], México, FCE, 1992 </w:t>
      </w:r>
    </w:p>
    <w:p w:rsidR="009D6701" w:rsidRPr="009D6701" w:rsidRDefault="009D670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es-ES" w:bidi="he-IL"/>
        </w:rPr>
      </w:pPr>
    </w:p>
    <w:p w:rsidR="009D6701" w:rsidRPr="009D6701" w:rsidRDefault="009D6701" w:rsidP="009D6701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F214C1" w:rsidRPr="009D6701" w:rsidRDefault="00F214C1" w:rsidP="00F21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p w:rsidR="00F214C1" w:rsidRPr="009D6701" w:rsidRDefault="00F214C1" w:rsidP="00864E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 w:bidi="he-IL"/>
        </w:rPr>
      </w:pPr>
    </w:p>
    <w:sectPr w:rsidR="00F214C1" w:rsidRPr="009D6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811"/>
    <w:multiLevelType w:val="multilevel"/>
    <w:tmpl w:val="30C09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D51014F"/>
    <w:multiLevelType w:val="multilevel"/>
    <w:tmpl w:val="979004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8"/>
    <w:rsid w:val="00123C35"/>
    <w:rsid w:val="0014071F"/>
    <w:rsid w:val="003402B8"/>
    <w:rsid w:val="00371DFC"/>
    <w:rsid w:val="00415F8D"/>
    <w:rsid w:val="00823DDB"/>
    <w:rsid w:val="00864EAE"/>
    <w:rsid w:val="008A426D"/>
    <w:rsid w:val="0097740C"/>
    <w:rsid w:val="009D6701"/>
    <w:rsid w:val="00AE049E"/>
    <w:rsid w:val="00B37FB9"/>
    <w:rsid w:val="00B949C5"/>
    <w:rsid w:val="00BC629C"/>
    <w:rsid w:val="00C42FFF"/>
    <w:rsid w:val="00C454C6"/>
    <w:rsid w:val="00C743AD"/>
    <w:rsid w:val="00CA08DC"/>
    <w:rsid w:val="00CB5310"/>
    <w:rsid w:val="00D05662"/>
    <w:rsid w:val="00D73866"/>
    <w:rsid w:val="00DD07E6"/>
    <w:rsid w:val="00DF73F7"/>
    <w:rsid w:val="00E17808"/>
    <w:rsid w:val="00E947A3"/>
    <w:rsid w:val="00E974B7"/>
    <w:rsid w:val="00EB13CA"/>
    <w:rsid w:val="00F214C1"/>
    <w:rsid w:val="00F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2019-06-04T14:37:00Z</dcterms:created>
  <dcterms:modified xsi:type="dcterms:W3CDTF">2019-06-04T14:37:00Z</dcterms:modified>
</cp:coreProperties>
</file>