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/>
          <w:color w:val="000000"/>
          <w:sz w:val="24"/>
          <w:szCs w:val="24"/>
          <w:lang w:val="es-AR" w:eastAsia="en-US"/>
        </w:rPr>
      </w:pPr>
      <w:r>
        <w:rPr>
          <w:rFonts w:ascii="Calibri" w:hAnsi="Calibri"/>
          <w:color w:val="000000"/>
          <w:sz w:val="24"/>
          <w:szCs w:val="24"/>
          <w:lang w:val="es-AR" w:eastAsia="en-US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4"/>
          <w:szCs w:val="24"/>
          <w:lang w:val="es-AR"/>
        </w:rPr>
      </w:pPr>
      <w:r>
        <w:rPr>
          <w:rFonts w:cs="Calibri" w:ascii="Calibri" w:hAnsi="Calibri" w:asciiTheme="minorHAnsi" w:cstheme="minorHAnsi" w:hAnsiTheme="minorHAnsi"/>
          <w:b/>
          <w:smallCaps/>
          <w:sz w:val="24"/>
          <w:szCs w:val="24"/>
          <w:lang w:val="es-AR"/>
        </w:rPr>
        <w:t>Universidad de Buenos Aires</w:t>
      </w:r>
    </w:p>
    <w:p>
      <w:pPr>
        <w:pStyle w:val="Normal"/>
        <w:spacing w:lineRule="auto" w:line="360"/>
        <w:jc w:val="center"/>
        <w:rPr>
          <w:rFonts w:ascii="Calibri" w:hAnsi="Calibri"/>
          <w:sz w:val="24"/>
          <w:szCs w:val="24"/>
          <w:lang w:val="es-AR"/>
        </w:rPr>
      </w:pPr>
      <w:r>
        <w:rPr>
          <w:rFonts w:cs="Calibri" w:ascii="Calibri" w:hAnsi="Calibri" w:asciiTheme="minorHAnsi" w:cstheme="minorHAnsi" w:hAnsiTheme="minorHAnsi"/>
          <w:b/>
          <w:smallCaps/>
          <w:sz w:val="24"/>
          <w:szCs w:val="24"/>
          <w:lang w:val="es-AR"/>
        </w:rPr>
        <w:t>Facultad de Filosofía y Letras</w:t>
      </w:r>
    </w:p>
    <w:p>
      <w:pPr>
        <w:pStyle w:val="Normal"/>
        <w:spacing w:lineRule="auto" w:line="360"/>
        <w:jc w:val="center"/>
        <w:rPr>
          <w:rFonts w:ascii="Calibri" w:hAnsi="Calibri"/>
          <w:sz w:val="24"/>
          <w:szCs w:val="24"/>
          <w:lang w:val="es-AR"/>
        </w:rPr>
      </w:pPr>
      <w:r>
        <w:rPr>
          <w:rFonts w:cs="Calibri" w:ascii="Calibri" w:hAnsi="Calibri" w:asciiTheme="minorHAnsi" w:cstheme="minorHAnsi" w:hAnsiTheme="minorHAnsi"/>
          <w:b/>
          <w:smallCaps/>
          <w:sz w:val="24"/>
          <w:szCs w:val="24"/>
          <w:lang w:val="es-AR"/>
        </w:rPr>
        <w:t>Maestría en Políticas Ambientales y Territoriales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4"/>
          <w:szCs w:val="24"/>
          <w:lang w:val="es-AR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es-AR"/>
        </w:rPr>
        <w:t>Seminario optativo</w:t>
      </w:r>
    </w:p>
    <w:p>
      <w:pPr>
        <w:pStyle w:val="Normal"/>
        <w:spacing w:lineRule="auto" w:line="360" w:before="0" w:after="120"/>
        <w:jc w:val="center"/>
        <w:rPr>
          <w:rFonts w:ascii="Calibri" w:hAnsi="Calibri"/>
          <w:sz w:val="24"/>
          <w:szCs w:val="24"/>
          <w:lang w:val="es-AR"/>
        </w:rPr>
      </w:pPr>
      <w:r>
        <w:rPr>
          <w:rFonts w:cs="Calibri" w:ascii="Calibri" w:hAnsi="Calibri"/>
          <w:b/>
          <w:bCs/>
          <w:smallCaps/>
          <w:color w:val="000000"/>
          <w:sz w:val="24"/>
          <w:szCs w:val="24"/>
          <w:lang w:val="es-AR" w:eastAsia="en-US"/>
        </w:rPr>
        <w:t>METODOLOGÍAS DE ESTUDIO DE IMPACTO AMBIENTAL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val="es-AR"/>
        </w:rPr>
      </w:pPr>
      <w:r>
        <w:rPr>
          <w:rFonts w:cs="Calibri" w:cstheme="minorHAnsi" w:ascii="Calibri" w:hAnsi="Calibri"/>
          <w:b/>
          <w:sz w:val="24"/>
          <w:szCs w:val="24"/>
          <w:lang w:val="es-A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val="es-AR"/>
        </w:rPr>
      </w:pPr>
      <w:r>
        <w:rPr>
          <w:rFonts w:cs="Calibri" w:cstheme="minorHAnsi" w:ascii="Calibri" w:hAnsi="Calibri"/>
          <w:b/>
          <w:sz w:val="24"/>
          <w:szCs w:val="24"/>
          <w:lang w:val="es-AR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es-AR"/>
        </w:rPr>
        <w:t xml:space="preserve">Profesores: </w:t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AR"/>
        </w:rPr>
        <w:t xml:space="preserve">Dra. Raquel Bielsa 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es-AR"/>
        </w:rPr>
        <w:t>(Universidad de General Sarmiento)</w:t>
      </w:r>
    </w:p>
    <w:p>
      <w:pPr>
        <w:pStyle w:val="Normal"/>
        <w:spacing w:lineRule="auto" w:line="360" w:before="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  <w:t xml:space="preserve">Lic. Ricardo Apaolaza </w:t>
      </w:r>
      <w:r>
        <w:rPr>
          <w:rFonts w:cs="Calibri" w:cstheme="minorHAnsi" w:ascii="Calibri" w:hAnsi="Calibri"/>
          <w:sz w:val="24"/>
          <w:szCs w:val="24"/>
          <w:lang w:val="es-AR"/>
        </w:rPr>
        <w:t>(Instituto de Geografía, FfyL, UBA)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val="es-AR"/>
        </w:rPr>
      </w:pPr>
      <w:r>
        <w:rPr>
          <w:rFonts w:cs="Calibri" w:cstheme="minorHAnsi" w:ascii="Calibri" w:hAnsi="Calibri"/>
          <w:b/>
          <w:sz w:val="24"/>
          <w:szCs w:val="24"/>
          <w:lang w:val="es-A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val="es-AR"/>
        </w:rPr>
      </w:pPr>
      <w:r>
        <w:rPr>
          <w:rFonts w:cs="Calibri" w:cstheme="minorHAnsi" w:ascii="Calibri" w:hAnsi="Calibri"/>
          <w:b/>
          <w:sz w:val="24"/>
          <w:szCs w:val="24"/>
          <w:lang w:val="es-A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val="es-AR"/>
        </w:rPr>
      </w:pPr>
      <w:r>
        <w:rPr>
          <w:rFonts w:cs="Calibri" w:cstheme="minorHAnsi" w:ascii="Calibri" w:hAnsi="Calibri"/>
          <w:b/>
          <w:sz w:val="24"/>
          <w:szCs w:val="24"/>
          <w:lang w:val="es-AR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es-AR"/>
        </w:rPr>
        <w:t>Carga horaria:</w:t>
      </w:r>
      <w:r>
        <w:rPr>
          <w:rFonts w:cs="Calibri" w:ascii="Calibri" w:hAnsi="Calibri" w:asciiTheme="minorHAnsi" w:cstheme="minorHAnsi" w:hAnsiTheme="minorHAnsi"/>
          <w:sz w:val="24"/>
          <w:szCs w:val="24"/>
          <w:lang w:val="es-AR"/>
        </w:rPr>
        <w:t xml:space="preserve"> 32 horas, 2 créditos</w:t>
      </w:r>
    </w:p>
    <w:p>
      <w:pPr>
        <w:pStyle w:val="Normal"/>
        <w:spacing w:lineRule="auto" w:line="360" w:before="0" w:after="120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AR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lineRule="auto" w:line="360" w:before="0" w:after="120"/>
        <w:jc w:val="both"/>
        <w:rPr>
          <w:b/>
          <w:b/>
          <w:bCs/>
          <w:color w:val="000000"/>
          <w:lang w:eastAsia="en-US"/>
        </w:rPr>
      </w:pPr>
      <w:r>
        <w:rPr>
          <w:rFonts w:cs="Calibri" w:cstheme="minorHAnsi" w:ascii="Calibri" w:hAnsi="Calibri"/>
          <w:sz w:val="24"/>
          <w:szCs w:val="24"/>
          <w:lang w:val="es-AR"/>
        </w:rPr>
      </w:r>
    </w:p>
    <w:p>
      <w:pPr>
        <w:pStyle w:val="Normal"/>
        <w:spacing w:before="0" w:after="120"/>
        <w:jc w:val="center"/>
        <w:rPr>
          <w:b/>
          <w:b/>
          <w:bCs/>
          <w:color w:val="000000"/>
          <w:lang w:eastAsia="en-US"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Normal"/>
        <w:spacing w:before="0" w:after="120"/>
        <w:jc w:val="center"/>
        <w:rPr>
          <w:b/>
          <w:b/>
          <w:caps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Normal"/>
        <w:spacing w:before="0" w:after="120"/>
        <w:jc w:val="center"/>
        <w:rPr>
          <w:rFonts w:ascii="Calibri" w:hAnsi="Calibri"/>
          <w:b/>
          <w:b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</w:r>
    </w:p>
    <w:p>
      <w:pPr>
        <w:pStyle w:val="Normal"/>
        <w:spacing w:before="0" w:after="120"/>
        <w:jc w:val="center"/>
        <w:rPr>
          <w:rFonts w:ascii="Calibri" w:hAnsi="Calibri"/>
          <w:b/>
          <w:b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Ttulo3"/>
        <w:pBdr>
          <w:bottom w:val="single" w:sz="4" w:space="1" w:color="00000A"/>
        </w:pBdr>
        <w:spacing w:before="0" w:after="120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I.</w:t>
        <w:tab/>
        <w:t>FUNDAMENTACIÓN</w:t>
      </w:r>
    </w:p>
    <w:p>
      <w:pPr>
        <w:pStyle w:val="BodyText3"/>
        <w:jc w:val="both"/>
        <w:rPr>
          <w:bCs/>
          <w:sz w:val="22"/>
          <w:szCs w:val="22"/>
        </w:rPr>
      </w:pPr>
      <w:r>
        <w:rPr>
          <w:rFonts w:ascii="Calibri" w:hAnsi="Calibri"/>
          <w:bCs/>
          <w:sz w:val="24"/>
          <w:szCs w:val="24"/>
          <w:lang w:val="es-AR" w:eastAsia="es-ES" w:bidi="ar-SA"/>
        </w:rPr>
        <w:t>Desde las décadas de 1960 y 1970 se ha tendido a reconocer la necesidad de incorporar la variable ambiental como un elemento clave al momento de evaluar y mejorar los efectos de las diferentes intervenciones territoriales y proyectos. Con la incorporación de los principios del desarrollo sostenible, cada vez con más frecuencia los diferentes procesos y sistemas de evaluación y gestión ambiental, sin dejar de ser objeto de discusiones y mejoras permanentes, son aceptados como mecanismos válidos para minimizar los impactos ambientales y sociales indeseados y potenciar los positivos, fomentando a la vez la participación de la sociedad civil. El egresado de la Maestría en Políticas Ambientales y Territoriales, en el ámbito de ejercicio de su profesión, ineludiblemente requiere los conocimientos fundamentales sobre la metodología y el alcance de diferentes estudios de impacto ambiental.</w:t>
      </w:r>
    </w:p>
    <w:p>
      <w:pPr>
        <w:pStyle w:val="BodyText3"/>
        <w:jc w:val="both"/>
        <w:rPr>
          <w:rFonts w:ascii="Calibri" w:hAnsi="Calibri"/>
          <w:bCs/>
          <w:sz w:val="24"/>
          <w:szCs w:val="24"/>
          <w:lang w:val="es-AR"/>
        </w:rPr>
      </w:pPr>
      <w:r>
        <w:rPr>
          <w:rFonts w:ascii="Calibri" w:hAnsi="Calibri"/>
          <w:bCs/>
          <w:sz w:val="24"/>
          <w:szCs w:val="24"/>
          <w:lang w:val="es-AR"/>
        </w:rPr>
      </w:r>
    </w:p>
    <w:p>
      <w:pPr>
        <w:pStyle w:val="Ttulo3"/>
        <w:pBdr>
          <w:bottom w:val="single" w:sz="4" w:space="1" w:color="00000A"/>
        </w:pBdr>
        <w:spacing w:before="0" w:after="120"/>
        <w:rPr>
          <w:rFonts w:eastAsia="Arial Unicode MS"/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II.</w:t>
        <w:tab/>
        <w:t>OBJETIVOS DE APRENDIZAJE Y ENSEÑANZA</w:t>
      </w:r>
    </w:p>
    <w:p>
      <w:pPr>
        <w:pStyle w:val="ListParagraph"/>
        <w:numPr>
          <w:ilvl w:val="0"/>
          <w:numId w:val="2"/>
        </w:numPr>
        <w:spacing w:before="0" w:after="120"/>
        <w:ind w:left="360" w:hanging="360"/>
        <w:contextualSpacing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bCs/>
          <w:sz w:val="24"/>
          <w:szCs w:val="24"/>
          <w:lang w:val="es-AR"/>
        </w:rPr>
        <w:t xml:space="preserve">Se espera que los alumnos logren: </w:t>
      </w:r>
    </w:p>
    <w:p>
      <w:pPr>
        <w:pStyle w:val="ListParagraph"/>
        <w:numPr>
          <w:ilvl w:val="0"/>
          <w:numId w:val="3"/>
        </w:numPr>
        <w:spacing w:before="0" w:after="120"/>
        <w:ind w:left="1080" w:hanging="360"/>
        <w:contextualSpacing/>
        <w:jc w:val="both"/>
        <w:rPr>
          <w:sz w:val="22"/>
          <w:szCs w:val="22"/>
          <w:lang w:val="es-AR"/>
        </w:rPr>
      </w:pPr>
      <w:r>
        <w:rPr>
          <w:rFonts w:ascii="Calibri" w:hAnsi="Calibri"/>
          <w:sz w:val="24"/>
          <w:szCs w:val="24"/>
          <w:lang w:val="es-AR"/>
        </w:rPr>
        <w:t xml:space="preserve">Interpretar la integración de sistemas físicos, biológicos y humanos en la dimensión ambiental ponderando su interacción con el ambiente. </w:t>
      </w:r>
    </w:p>
    <w:p>
      <w:pPr>
        <w:pStyle w:val="ListParagraph"/>
        <w:numPr>
          <w:ilvl w:val="0"/>
          <w:numId w:val="3"/>
        </w:numPr>
        <w:spacing w:before="0" w:after="120"/>
        <w:ind w:left="1080" w:hanging="360"/>
        <w:contextualSpacing/>
        <w:jc w:val="both"/>
        <w:rPr>
          <w:sz w:val="22"/>
          <w:szCs w:val="22"/>
          <w:lang w:val="es-AR"/>
        </w:rPr>
      </w:pPr>
      <w:r>
        <w:rPr>
          <w:rFonts w:ascii="Calibri" w:hAnsi="Calibri"/>
          <w:sz w:val="24"/>
          <w:szCs w:val="24"/>
          <w:lang w:val="es-AR"/>
        </w:rPr>
        <w:t xml:space="preserve">Comprender la utilidad y aplicación de esta herramienta de gestión ambiental. </w:t>
      </w:r>
    </w:p>
    <w:p>
      <w:pPr>
        <w:pStyle w:val="Ttulo3"/>
        <w:numPr>
          <w:ilvl w:val="0"/>
          <w:numId w:val="2"/>
        </w:numPr>
        <w:tabs>
          <w:tab w:val="left" w:pos="540" w:leader="none"/>
        </w:tabs>
        <w:spacing w:before="0" w:after="120"/>
        <w:ind w:left="360" w:hanging="360"/>
        <w:rPr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sz w:val="24"/>
          <w:szCs w:val="24"/>
          <w:lang w:val="es-AR"/>
        </w:rPr>
        <w:t>Se espera que el docente del curso:</w:t>
      </w:r>
    </w:p>
    <w:p>
      <w:pPr>
        <w:pStyle w:val="ListParagraph"/>
        <w:numPr>
          <w:ilvl w:val="0"/>
          <w:numId w:val="3"/>
        </w:numPr>
        <w:spacing w:before="0" w:after="120"/>
        <w:ind w:left="1080" w:hanging="360"/>
        <w:contextualSpacing/>
        <w:jc w:val="both"/>
        <w:rPr>
          <w:sz w:val="22"/>
          <w:szCs w:val="22"/>
          <w:lang w:val="es-AR"/>
        </w:rPr>
      </w:pPr>
      <w:r>
        <w:rPr>
          <w:rFonts w:ascii="Calibri" w:hAnsi="Calibri"/>
          <w:sz w:val="24"/>
          <w:szCs w:val="24"/>
          <w:lang w:val="es-AR"/>
        </w:rPr>
        <w:t xml:space="preserve">Promueva la formación técnica necesaria para el uso eficaz de esta herramienta de gestión. </w:t>
      </w:r>
    </w:p>
    <w:p>
      <w:pPr>
        <w:pStyle w:val="ListParagraph"/>
        <w:numPr>
          <w:ilvl w:val="0"/>
          <w:numId w:val="3"/>
        </w:numPr>
        <w:spacing w:before="0" w:after="120"/>
        <w:ind w:left="1080" w:hanging="360"/>
        <w:contextualSpacing/>
        <w:jc w:val="both"/>
        <w:rPr>
          <w:sz w:val="22"/>
          <w:szCs w:val="22"/>
          <w:lang w:val="es-AR"/>
        </w:rPr>
      </w:pPr>
      <w:r>
        <w:rPr>
          <w:rFonts w:ascii="Calibri" w:hAnsi="Calibri"/>
          <w:sz w:val="24"/>
          <w:szCs w:val="24"/>
          <w:lang w:val="es-AR"/>
        </w:rPr>
        <w:t xml:space="preserve">Promueva el enfoque de sustentabilidad de los territorios. </w:t>
      </w:r>
    </w:p>
    <w:p>
      <w:pPr>
        <w:pStyle w:val="ListParagraph"/>
        <w:numPr>
          <w:ilvl w:val="0"/>
          <w:numId w:val="3"/>
        </w:numPr>
        <w:spacing w:before="0" w:after="120"/>
        <w:ind w:left="1080" w:hanging="360"/>
        <w:contextualSpacing/>
        <w:jc w:val="both"/>
        <w:rPr>
          <w:sz w:val="22"/>
          <w:szCs w:val="22"/>
          <w:lang w:val="es-AR"/>
        </w:rPr>
      </w:pPr>
      <w:r>
        <w:rPr>
          <w:rFonts w:ascii="Calibri" w:hAnsi="Calibri"/>
          <w:sz w:val="24"/>
          <w:szCs w:val="24"/>
          <w:lang w:val="es-AR"/>
        </w:rPr>
        <w:t xml:space="preserve">Inicie al estudiante en la integración de conocimientos con otras asignaturas y seminarios. </w:t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ListParagraph"/>
        <w:pBdr>
          <w:bottom w:val="single" w:sz="4" w:space="1" w:color="00000A"/>
        </w:pBdr>
        <w:spacing w:before="0" w:after="120"/>
        <w:ind w:left="0" w:hanging="0"/>
        <w:contextualSpacing/>
        <w:jc w:val="both"/>
        <w:rPr>
          <w:b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lang w:val="es-AR"/>
        </w:rPr>
        <w:t>III. PROGRAMA ANALÍTICO Y CONTENIDOS</w:t>
      </w:r>
    </w:p>
    <w:p>
      <w:pPr>
        <w:pStyle w:val="Normal"/>
        <w:spacing w:before="120" w:after="12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  <w:t>Unidad I: Desarrollo sostenible y evaluación de impacto ambiental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1.1</w:t>
        <w:tab/>
        <w:t>Marco conceptual y desarrollo sostenible. Proceso y sistemas de EIA. Interdisciplinariedad.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1.2</w:t>
        <w:tab/>
        <w:t>Etapas funcionales de un sistema de EIA. Etapa I: identificación y clasificación ambiental. Etapa II: preparación y análisis. Etapa III: calificación y decisión. Etapa IV: seguimiento y control.</w:t>
      </w:r>
    </w:p>
    <w:p>
      <w:pPr>
        <w:pStyle w:val="Normal"/>
        <w:spacing w:before="12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1.3</w:t>
        <w:tab/>
        <w:t>Sistemas de información y análisis de datos para variables ambientales. Uso de indicadores ambientales.</w:t>
      </w:r>
    </w:p>
    <w:p>
      <w:pPr>
        <w:pStyle w:val="P1"/>
        <w:spacing w:before="120" w:after="120"/>
        <w:jc w:val="both"/>
        <w:rPr>
          <w:b/>
          <w:b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P1"/>
        <w:spacing w:before="120" w:after="12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lang w:val="es-AR"/>
        </w:rPr>
        <w:t>Unidad 2. Contenidos de los estudios de impacto ambiental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2.1</w:t>
        <w:tab/>
        <w:tab/>
        <w:t>Características de los estudios de impacto ambiental. Temas claves de un estudio de impacto ambiental.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2.2</w:t>
        <w:tab/>
        <w:t>Marco normativo nacional, provincial, municipal. Financiamiento externo y estándares internacionales: WB, IADB, IFC, EPFI. Políticas de salvaguarda en temas críticos: hábitats críticos y biodiversidad, desplazamiento y reasentamiento involuntario, pueblos indígenas y patrimonio cultural, etc.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2.3</w:t>
        <w:tab/>
        <w:t>Contenidos generales y específicos de los estudios de impacto ambiental: Descripción del proyecto. Definición del área de influencia. Antecedentes y línea de base ambiental. Identificación y evaluación de riesgos e impactos. Plan de manejo ambiental y social.</w:t>
      </w:r>
    </w:p>
    <w:p>
      <w:pPr>
        <w:pStyle w:val="Normal"/>
        <w:spacing w:before="0" w:after="120"/>
        <w:ind w:left="567" w:hanging="567"/>
        <w:jc w:val="both"/>
        <w:rPr>
          <w:b/>
          <w:b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Normal"/>
        <w:spacing w:before="0" w:after="120"/>
        <w:ind w:left="567" w:hanging="567"/>
        <w:jc w:val="both"/>
        <w:rPr>
          <w:b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lang w:val="es-AR"/>
        </w:rPr>
        <w:t>Unidad 3. Proyectos, alternativas y área de influencia.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3.1</w:t>
        <w:tab/>
        <w:tab/>
        <w:t>Descripción del proyecto. Tipos de proyecto según implantación (puntual, lineal y areal). Etapas de diseño, construcción, operación, clausura.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3.2</w:t>
        <w:tab/>
        <w:t>Análisis de alternativas. Factibilidad técnica y financiera, viabilidad ambiental. Ajustes de diseño, procesos operativos y/o emplazamiento.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3.3</w:t>
        <w:tab/>
        <w:tab/>
        <w:t>Definición del área de influencia. Escalas de análisis. Criterios de contigüidad, proximidad, reticularidad. Área de Implantación de Proyecto. Área de Influencia Directa e Indirecta. Área de Relaciones Comunitarias.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3.4</w:t>
        <w:tab/>
        <w:t>Pasivos ambientales. Costos de reparación. Lucro cesante. Compensación por daños irreversibles. Evaluación monetaria y responsabilidad jurídica.</w:t>
      </w:r>
    </w:p>
    <w:p>
      <w:pPr>
        <w:pStyle w:val="P1"/>
        <w:spacing w:before="0" w:after="120"/>
        <w:jc w:val="both"/>
        <w:rPr>
          <w:b/>
          <w:b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P1"/>
        <w:spacing w:before="0" w:after="12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lang w:val="es-AR"/>
        </w:rPr>
        <w:t>Unidad 4. Metodologías de identificación y evaluación de riesgos e impactos ambientales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4.1</w:t>
        <w:tab/>
        <w:t>Análisis de sensibilidad ambiental. Metodologías para sensibilidades parciales y totales.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4.2</w:t>
        <w:tab/>
        <w:tab/>
        <w:t>Definición y características de los riesgos ambientales y sociales. Riesgos hacia el entorno y riesgos hacia el proyecto. Metodologías de identificación y análisis de riesgos.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4.3</w:t>
        <w:tab/>
        <w:tab/>
        <w:t>Definición y características de los impactos ambientales y sociales. Impactos simples, indirectos y acumulativos.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4.4</w:t>
        <w:tab/>
        <w:t xml:space="preserve">Metodologías generales. </w:t>
      </w:r>
      <w:r>
        <w:rPr>
          <w:rStyle w:val="S2"/>
          <w:rFonts w:ascii="Calibri" w:hAnsi="Calibri"/>
          <w:sz w:val="24"/>
          <w:szCs w:val="24"/>
          <w:lang w:val="es-AR"/>
        </w:rPr>
        <w:t>L</w:t>
      </w:r>
      <w:r>
        <w:rPr>
          <w:rFonts w:ascii="Calibri" w:hAnsi="Calibri"/>
          <w:sz w:val="24"/>
          <w:szCs w:val="24"/>
          <w:lang w:val="es-AR"/>
        </w:rPr>
        <w:t>istas de chequeo o verificación. Diagramas de flujo. Redes. Panel de expertos. Cartografía ambiental. Matrices de causa-efecto (Leopold, Batelle). Metodología de Conesa Fernández – Vítora.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4.5</w:t>
        <w:tab/>
        <w:t>Métodos para variables específicas. Calidad del agua. Degradación de suelos. Calidad del aire y ruido. Gases de efecto invernadero y cambio climático. Campos electromagnéticos. Análisis sobre flora y fauna. Riqueza y biodiversidad. Paisaje y percepción. Tránsito. Patrimonio.</w:t>
      </w:r>
    </w:p>
    <w:p>
      <w:pPr>
        <w:pStyle w:val="P1"/>
        <w:spacing w:before="0" w:after="120"/>
        <w:jc w:val="both"/>
        <w:rPr>
          <w:b/>
          <w:b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P1"/>
        <w:spacing w:before="0" w:after="120"/>
        <w:jc w:val="both"/>
        <w:rPr>
          <w:b/>
          <w:b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P1"/>
        <w:spacing w:before="0" w:after="12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  <w:t>Unidad 5. Plan de Gestión / Manejo Ambiental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5.1</w:t>
        <w:tab/>
        <w:tab/>
        <w:t>Diseño de medidas de mitigación: prevención, mitigación, corrección y compensación. Formulación de indicadores e índices de seguimiento y control. Indicadores geoespaciales.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5.2</w:t>
        <w:tab/>
        <w:tab/>
        <w:t>Seguimiento y control. Fases de un programa de seguimiento. Elaboración, aplicación y evaluación del programa propuesto.</w:t>
      </w:r>
    </w:p>
    <w:p>
      <w:pPr>
        <w:pStyle w:val="Normal"/>
        <w:spacing w:before="0" w:after="120"/>
        <w:ind w:left="567" w:hanging="567"/>
        <w:jc w:val="both"/>
        <w:rPr>
          <w:b/>
          <w:b/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5.3</w:t>
        <w:tab/>
        <w:t>Manejo de contingencias y catástrofes. Adaptación a riesgos y cambio climático.</w:t>
      </w:r>
    </w:p>
    <w:p>
      <w:pPr>
        <w:pStyle w:val="P1"/>
        <w:spacing w:before="0" w:after="120"/>
        <w:jc w:val="both"/>
        <w:rPr>
          <w:b/>
          <w:b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P1"/>
        <w:spacing w:before="0" w:after="12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lang w:val="es-AR"/>
        </w:rPr>
        <w:t>Unidad 6.  Procesos de participación ciudadana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6.1</w:t>
        <w:tab/>
        <w:t>Instancias de participación en el proceso de EIA. Participación formal y no formal. Divulgación y disponibilidad de la información. Sondeos y consultas. Audiencia pública. Procedimientos de consulta libre, previa e informada (CLPI).</w:t>
      </w:r>
    </w:p>
    <w:p>
      <w:pPr>
        <w:pStyle w:val="Normal"/>
        <w:spacing w:before="0" w:after="120"/>
        <w:ind w:left="567" w:hanging="567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  <w:lang w:val="es-AR"/>
        </w:rPr>
        <w:t>6.2</w:t>
        <w:tab/>
        <w:t>Plan de participación ciudadana para los estudios de impacto ambiental. Técnicas de participación. Resolución de conflictos ambientales en la evaluación de impacto ambiental.</w:t>
      </w:r>
    </w:p>
    <w:p>
      <w:pPr>
        <w:pStyle w:val="P2"/>
        <w:spacing w:before="0" w:after="120"/>
        <w:jc w:val="both"/>
        <w:rPr>
          <w:b/>
          <w:b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P2"/>
        <w:spacing w:before="0" w:after="12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lang w:val="es-AR"/>
        </w:rPr>
        <w:t>Unidad 7. Evaluación ambiental estratégica (EAE)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7.1</w:t>
        <w:tab/>
        <w:tab/>
        <w:t>Principios básicos que la sustentan y la componen: screening, scoping, información básica, predicción y evaluación de impactos, informe, revisión y supervisión. Diferencias de procedimiento entre EAE y EIA.</w:t>
      </w:r>
    </w:p>
    <w:p>
      <w:pPr>
        <w:pStyle w:val="Normal"/>
        <w:spacing w:before="0" w:after="120"/>
        <w:ind w:left="567" w:hanging="567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7.2</w:t>
        <w:tab/>
        <w:t>Modelos y aplicación de la EAE a diferentes escalas: políticas, planificación territorial y gestión de recursos, evaluaciones ambientales a nivel regional, evaluación ambiental acumulativa, sectorial, de privatizaciones, de ajustes estructurales, de presupuestos nacionales, de temas globales y tratados.</w:t>
      </w:r>
    </w:p>
    <w:p>
      <w:pPr>
        <w:pStyle w:val="Normal"/>
        <w:pBdr>
          <w:bottom w:val="single" w:sz="4" w:space="1" w:color="00000A"/>
        </w:pBdr>
        <w:spacing w:before="0" w:after="120"/>
        <w:jc w:val="both"/>
        <w:rPr>
          <w:rFonts w:ascii="Calibri" w:hAnsi="Calibri"/>
          <w:b/>
          <w:b/>
          <w:bCs/>
          <w:sz w:val="24"/>
          <w:szCs w:val="24"/>
          <w:lang w:val="es-AR"/>
        </w:rPr>
      </w:pPr>
      <w:r>
        <w:rPr>
          <w:rFonts w:ascii="Calibri" w:hAnsi="Calibri"/>
          <w:b/>
          <w:bCs/>
          <w:sz w:val="24"/>
          <w:szCs w:val="24"/>
          <w:lang w:val="es-AR"/>
        </w:rPr>
      </w:r>
    </w:p>
    <w:p>
      <w:pPr>
        <w:pStyle w:val="Normal"/>
        <w:pBdr>
          <w:bottom w:val="single" w:sz="4" w:space="1" w:color="00000A"/>
        </w:pBdr>
        <w:spacing w:before="0" w:after="120"/>
        <w:jc w:val="both"/>
        <w:rPr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  <w:lang w:val="es-AR"/>
        </w:rPr>
        <w:t>IV- ESTRATEGIA DE ENSEÑANZA</w:t>
      </w:r>
    </w:p>
    <w:p>
      <w:pPr>
        <w:pStyle w:val="Normal"/>
        <w:spacing w:before="0" w:after="120"/>
        <w:jc w:val="both"/>
        <w:rPr>
          <w:bCs/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 xml:space="preserve">La materia está organizada en 8 clases teórico-prácticas. En la instancia teórica se desarrollan y discuten los conceptos centrales, metodologías y aplicaciones, así como una serie de </w:t>
      </w:r>
      <w:r>
        <w:rPr>
          <w:rFonts w:ascii="Calibri" w:hAnsi="Calibri"/>
          <w:bCs/>
          <w:sz w:val="24"/>
          <w:szCs w:val="24"/>
          <w:lang w:val="es-AR"/>
        </w:rPr>
        <w:t>artículos seleccionados de publicaciones especializadas</w:t>
      </w:r>
      <w:r>
        <w:rPr>
          <w:rFonts w:ascii="Calibri" w:hAnsi="Calibri"/>
          <w:sz w:val="24"/>
          <w:szCs w:val="24"/>
          <w:lang w:val="es-AR"/>
        </w:rPr>
        <w:t xml:space="preserve">. En la instancia práctica se ejercitan los conceptos y metodologías trabajados en la instancia teórica, se evalúan ejemplos reales de estudios ambientales y se realizan ejercitaciones de diferentes procesos asociados a la producción de </w:t>
      </w:r>
      <w:r>
        <w:rPr>
          <w:rFonts w:ascii="Calibri" w:hAnsi="Calibri"/>
          <w:bCs/>
          <w:sz w:val="24"/>
          <w:szCs w:val="24"/>
          <w:lang w:val="es-AR"/>
        </w:rPr>
        <w:t>estudios de impacto ambiental.</w:t>
      </w:r>
    </w:p>
    <w:p>
      <w:pPr>
        <w:pStyle w:val="Normal"/>
        <w:spacing w:before="0" w:after="120"/>
        <w:jc w:val="both"/>
        <w:rPr>
          <w:rFonts w:ascii="Calibri" w:hAnsi="Calibri"/>
          <w:bCs/>
          <w:sz w:val="24"/>
          <w:szCs w:val="24"/>
          <w:lang w:val="es-AR"/>
        </w:rPr>
      </w:pPr>
      <w:r>
        <w:rPr>
          <w:rFonts w:ascii="Calibri" w:hAnsi="Calibri"/>
          <w:bCs/>
          <w:sz w:val="24"/>
          <w:szCs w:val="24"/>
          <w:lang w:val="es-AR"/>
        </w:rPr>
      </w:r>
    </w:p>
    <w:p>
      <w:pPr>
        <w:pStyle w:val="Normal"/>
        <w:pBdr>
          <w:bottom w:val="single" w:sz="4" w:space="1" w:color="00000A"/>
        </w:pBdr>
        <w:spacing w:before="0" w:after="120"/>
        <w:jc w:val="both"/>
        <w:rPr>
          <w:b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lang w:val="es-AR"/>
        </w:rPr>
        <w:t>V- MEDIOS Y RECURSOS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>Pizarrón. Filminas. Presentaciones en Power Point. Publicaciones técnicas. Normas y Estudios Ambientales.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bCs/>
          <w:sz w:val="24"/>
          <w:szCs w:val="24"/>
          <w:u w:val="single"/>
          <w:lang w:val="es-AR"/>
        </w:rPr>
      </w:pPr>
      <w:r>
        <w:rPr>
          <w:rFonts w:ascii="Calibri" w:hAnsi="Calibri"/>
          <w:b/>
          <w:bCs/>
          <w:sz w:val="24"/>
          <w:szCs w:val="24"/>
          <w:u w:val="single"/>
          <w:lang w:val="es-AR"/>
        </w:rPr>
      </w:r>
    </w:p>
    <w:p>
      <w:pPr>
        <w:pStyle w:val="Normal"/>
        <w:pBdr>
          <w:bottom w:val="single" w:sz="4" w:space="1" w:color="00000A"/>
        </w:pBdr>
        <w:spacing w:before="0" w:after="120"/>
        <w:jc w:val="both"/>
        <w:rPr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4"/>
          <w:szCs w:val="24"/>
          <w:lang w:val="es-AR"/>
        </w:rPr>
        <w:t>VI- EVALUACIÓN</w:t>
      </w:r>
    </w:p>
    <w:p>
      <w:pPr>
        <w:pStyle w:val="Normal"/>
        <w:spacing w:before="0" w:after="120"/>
        <w:jc w:val="both"/>
        <w:rPr>
          <w:bCs/>
          <w:sz w:val="22"/>
          <w:szCs w:val="22"/>
          <w:lang w:val="es-AR"/>
        </w:rPr>
      </w:pPr>
      <w:r>
        <w:rPr>
          <w:rFonts w:ascii="Calibri" w:hAnsi="Calibri"/>
          <w:bCs/>
          <w:sz w:val="24"/>
          <w:szCs w:val="24"/>
          <w:lang w:val="es-AR"/>
        </w:rPr>
        <w:t>La evaluación de los aprendizajes y acreditación se realizará a través de instancia evaluadora: informe escrito con exposición oral, correspondiente a un trabajo monográfico que encomiende el docente.</w:t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>
          <w:rFonts w:ascii="Calibri" w:hAnsi="Calibri"/>
          <w:bCs/>
          <w:sz w:val="24"/>
          <w:szCs w:val="24"/>
          <w:lang w:val="es-AR"/>
        </w:rPr>
        <w:t xml:space="preserve">Las condiciones de aprobación incluyen: </w:t>
      </w:r>
      <w:r>
        <w:rPr>
          <w:rFonts w:ascii="Calibri" w:hAnsi="Calibri"/>
          <w:sz w:val="24"/>
          <w:szCs w:val="24"/>
          <w:lang w:val="es-AR"/>
        </w:rPr>
        <w:t>Asistir, como mínimo, al 75% de las horas de clase y realizar las tareas propuestas; preparar y presentar trabajos individuales y grupales, orales y/o escritos; y aprobar la instancia evaluatoria.</w:t>
      </w:r>
    </w:p>
    <w:p>
      <w:pPr>
        <w:pStyle w:val="Normal"/>
        <w:pBdr>
          <w:bottom w:val="single" w:sz="4" w:space="1" w:color="00000A"/>
        </w:pBdr>
        <w:spacing w:before="0" w:after="120"/>
        <w:jc w:val="both"/>
        <w:rPr>
          <w:b/>
          <w:b/>
          <w:bCs/>
        </w:rPr>
      </w:pPr>
      <w:r>
        <w:rPr>
          <w:rFonts w:ascii="Calibri" w:hAnsi="Calibri"/>
          <w:sz w:val="24"/>
          <w:szCs w:val="24"/>
          <w:lang w:val="es-AR"/>
        </w:rPr>
      </w:r>
    </w:p>
    <w:p>
      <w:pPr>
        <w:pStyle w:val="Normal"/>
        <w:pBdr>
          <w:bottom w:val="single" w:sz="4" w:space="1" w:color="00000A"/>
        </w:pBdr>
        <w:spacing w:before="0" w:after="12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b/>
          <w:bCs/>
          <w:sz w:val="24"/>
          <w:szCs w:val="24"/>
          <w:lang w:val="es-AR"/>
        </w:rPr>
        <w:t>VII- BIBLIOGRAFÍA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Banco Mundial 2001.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Manual de operaciones del Banco Mundial. Políticas Operacionales Reasentamiento involuntario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Washington: WBG.</w:t>
      </w:r>
    </w:p>
    <w:p>
      <w:pPr>
        <w:pStyle w:val="Titular"/>
        <w:spacing w:before="0" w:after="120"/>
        <w:ind w:left="284" w:hanging="284"/>
        <w:jc w:val="both"/>
        <w:rPr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caps w:val="false"/>
          <w:smallCaps w:val="false"/>
          <w:sz w:val="24"/>
          <w:szCs w:val="24"/>
          <w:lang w:val="es-AR"/>
        </w:rPr>
        <w:t>Canter</w:t>
      </w:r>
      <w:r>
        <w:rPr>
          <w:rFonts w:ascii="Calibri" w:hAnsi="Calibri"/>
          <w:b w:val="false"/>
          <w:sz w:val="24"/>
          <w:szCs w:val="24"/>
          <w:lang w:val="es-AR"/>
        </w:rPr>
        <w:t xml:space="preserve">, L. 1998. </w:t>
      </w:r>
      <w:r>
        <w:rPr>
          <w:rFonts w:ascii="Calibri" w:hAnsi="Calibri"/>
          <w:b w:val="false"/>
          <w:i/>
          <w:caps w:val="false"/>
          <w:smallCaps w:val="false"/>
          <w:sz w:val="24"/>
          <w:szCs w:val="24"/>
          <w:lang w:val="es-AR"/>
        </w:rPr>
        <w:t>Manual de evaluación de impacto ambiental: técnicas para la elaboración de estudios de impacto</w:t>
      </w:r>
      <w:r>
        <w:rPr>
          <w:rFonts w:ascii="Calibri" w:hAnsi="Calibri"/>
          <w:b w:val="false"/>
          <w:sz w:val="24"/>
          <w:szCs w:val="24"/>
          <w:lang w:val="es-AR"/>
        </w:rPr>
        <w:t xml:space="preserve">. </w:t>
      </w:r>
      <w:r>
        <w:rPr>
          <w:rFonts w:ascii="Calibri" w:hAnsi="Calibri"/>
          <w:b w:val="false"/>
          <w:caps w:val="false"/>
          <w:smallCaps w:val="false"/>
          <w:sz w:val="24"/>
          <w:szCs w:val="24"/>
          <w:lang w:val="es-AR"/>
        </w:rPr>
        <w:t>Madrid</w:t>
      </w:r>
      <w:r>
        <w:rPr>
          <w:rFonts w:ascii="Calibri" w:hAnsi="Calibri"/>
          <w:b w:val="false"/>
          <w:sz w:val="24"/>
          <w:szCs w:val="24"/>
          <w:lang w:val="es-AR"/>
        </w:rPr>
        <w:t xml:space="preserve">: </w:t>
      </w:r>
      <w:r>
        <w:rPr>
          <w:rFonts w:ascii="Calibri" w:hAnsi="Calibri"/>
          <w:b w:val="false"/>
          <w:caps w:val="false"/>
          <w:smallCaps w:val="false"/>
          <w:sz w:val="24"/>
          <w:szCs w:val="24"/>
          <w:lang w:val="es-AR"/>
        </w:rPr>
        <w:t>Mcgraw Hill</w:t>
      </w:r>
      <w:r>
        <w:rPr>
          <w:rFonts w:ascii="Calibri" w:hAnsi="Calibri"/>
          <w:b w:val="false"/>
          <w:sz w:val="24"/>
          <w:szCs w:val="24"/>
          <w:lang w:val="es-AR"/>
        </w:rPr>
        <w:t>. ISBN: 9788448112516.</w:t>
      </w:r>
    </w:p>
    <w:p>
      <w:pPr>
        <w:pStyle w:val="Titular"/>
        <w:spacing w:before="0" w:after="120"/>
        <w:ind w:left="284" w:hanging="284"/>
        <w:jc w:val="both"/>
        <w:rPr>
          <w:b w:val="false"/>
          <w:b w:val="false"/>
          <w:sz w:val="22"/>
          <w:szCs w:val="22"/>
        </w:rPr>
      </w:pPr>
      <w:r>
        <w:rPr>
          <w:rFonts w:ascii="Calibri" w:hAnsi="Calibri"/>
          <w:b w:val="false"/>
          <w:caps w:val="false"/>
          <w:smallCaps w:val="false"/>
          <w:sz w:val="24"/>
          <w:szCs w:val="24"/>
          <w:lang w:val="es-AR"/>
        </w:rPr>
        <w:t>Conesa Fernández-Vítora</w:t>
      </w:r>
      <w:r>
        <w:rPr>
          <w:rFonts w:ascii="Calibri" w:hAnsi="Calibri"/>
          <w:b w:val="false"/>
          <w:sz w:val="24"/>
          <w:szCs w:val="24"/>
          <w:lang w:val="es-AR"/>
        </w:rPr>
        <w:t xml:space="preserve">, V. 1997. </w:t>
      </w:r>
      <w:r>
        <w:rPr>
          <w:rFonts w:ascii="Calibri" w:hAnsi="Calibri"/>
          <w:b w:val="false"/>
          <w:caps w:val="false"/>
          <w:smallCaps w:val="false"/>
          <w:sz w:val="24"/>
          <w:szCs w:val="24"/>
          <w:lang w:val="es-AR"/>
        </w:rPr>
        <w:t>Guía metodológica para la evaluación del impacto ambiental</w:t>
      </w:r>
      <w:r>
        <w:rPr>
          <w:rFonts w:ascii="Calibri" w:hAnsi="Calibri"/>
          <w:b w:val="false"/>
          <w:sz w:val="24"/>
          <w:szCs w:val="24"/>
          <w:lang w:val="es-AR"/>
        </w:rPr>
        <w:t xml:space="preserve">. </w:t>
      </w:r>
      <w:r>
        <w:rPr>
          <w:rFonts w:ascii="Calibri" w:hAnsi="Calibri"/>
          <w:b w:val="false"/>
          <w:caps w:val="false"/>
          <w:smallCaps w:val="false"/>
          <w:sz w:val="24"/>
          <w:szCs w:val="24"/>
          <w:lang w:val="es-AR"/>
        </w:rPr>
        <w:t>Madrid</w:t>
      </w:r>
      <w:r>
        <w:rPr>
          <w:rFonts w:ascii="Calibri" w:hAnsi="Calibri"/>
          <w:b w:val="false"/>
          <w:sz w:val="24"/>
          <w:szCs w:val="24"/>
          <w:lang w:val="es-AR"/>
        </w:rPr>
        <w:t xml:space="preserve">: </w:t>
      </w:r>
      <w:r>
        <w:rPr>
          <w:rFonts w:ascii="Calibri" w:hAnsi="Calibri"/>
          <w:b w:val="false"/>
          <w:caps w:val="false"/>
          <w:smallCaps w:val="false"/>
          <w:sz w:val="24"/>
          <w:szCs w:val="24"/>
          <w:lang w:val="es-AR"/>
        </w:rPr>
        <w:t>Mundi Prensa</w:t>
      </w:r>
      <w:r>
        <w:rPr>
          <w:rFonts w:ascii="Calibri" w:hAnsi="Calibri"/>
          <w:b w:val="false"/>
          <w:sz w:val="24"/>
          <w:szCs w:val="24"/>
          <w:lang w:val="es-AR"/>
        </w:rPr>
        <w:t>.  ISBN: 9788471146472.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Council on Environmental Quality (CEQ). 1997.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Considering Cumulative Effects Under the Natio- nal Environmental Policy Act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Washington.</w:t>
      </w:r>
    </w:p>
    <w:p>
      <w:pPr>
        <w:pStyle w:val="Normal"/>
        <w:spacing w:before="0" w:after="120"/>
        <w:ind w:left="284" w:hanging="284"/>
        <w:jc w:val="both"/>
        <w:rPr/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Espinoza, G. 2002.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Fundamentos de Evaluación de Impacto Ambiental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. Programa de capacitación desarrollado por el BID. Santiago, Chile. Disponible en: </w:t>
      </w:r>
      <w:hyperlink r:id="rId2">
        <w:r>
          <w:rPr>
            <w:rStyle w:val="EnlacedeInternet"/>
            <w:rFonts w:eastAsia="Calibri" w:ascii="Calibri" w:hAnsi="Calibri"/>
            <w:sz w:val="24"/>
            <w:szCs w:val="24"/>
            <w:lang w:val="es-AR"/>
          </w:rPr>
          <w:t>http://www.ced.cl/ced/wp-content/uploads/2009/03/gestion-y-fundamentos-de-eia.pdf</w:t>
        </w:r>
      </w:hyperlink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Fernández, R. 2000.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Gestión ambiental de ciudades. Teoría crítica y aportes metodológicos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México DF: Programa de las Naciones Unidas para el Medio Ambiente. Red de Formación Ambiental para América Latina y el Caribe.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Harvey, D. 2014.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Diecisiete contradicciones del capital y el fin del neoliberalismo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Madrid: Traficantes de Sueños.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  <w:lang w:val="en-US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Hegmann, G.; Cocklin, R.; et al. 1999. “Cumulative Effects Assessment Practitioners Guide”. En: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Canadian Environmental Assessment Agency by the Cumulative Effects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Assessment Working Group and AXYS Environmental Consulting Ltd.</w:t>
      </w:r>
    </w:p>
    <w:p>
      <w:pPr>
        <w:pStyle w:val="Normal"/>
        <w:spacing w:before="0" w:after="120"/>
        <w:ind w:left="284" w:hanging="284"/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 xml:space="preserve">Intergovernmental Panel on Climate Change (IPCC). 2013. </w:t>
      </w:r>
      <w:r>
        <w:rPr>
          <w:rFonts w:ascii="Calibri" w:hAnsi="Calibri"/>
          <w:i/>
          <w:sz w:val="24"/>
          <w:szCs w:val="24"/>
          <w:lang w:val="es-AR"/>
        </w:rPr>
        <w:t>Datos para “futuro cercano” (período 2020-2039) y para “futuro lejano” (2075-2099)</w:t>
      </w:r>
      <w:r>
        <w:rPr>
          <w:rFonts w:ascii="Calibri" w:hAnsi="Calibri"/>
          <w:sz w:val="24"/>
          <w:szCs w:val="24"/>
          <w:lang w:val="es-AR"/>
        </w:rPr>
        <w:t>. Ginebra: IPCC.</w:t>
      </w:r>
    </w:p>
    <w:p>
      <w:pPr>
        <w:pStyle w:val="BodyText2"/>
        <w:spacing w:lineRule="auto" w:line="240"/>
        <w:ind w:left="284" w:hanging="284"/>
        <w:jc w:val="both"/>
        <w:rPr/>
      </w:pPr>
      <w:r>
        <w:rPr>
          <w:rFonts w:ascii="Calibri" w:hAnsi="Calibri"/>
          <w:sz w:val="24"/>
          <w:szCs w:val="24"/>
          <w:lang w:val="es-AR"/>
        </w:rPr>
        <w:t xml:space="preserve">International Association for Impact Assessment (IAIA). 2017. “Guidelines for Impact Assessment”. </w:t>
      </w:r>
      <w:r>
        <w:rPr>
          <w:rFonts w:ascii="Calibri" w:hAnsi="Calibri"/>
          <w:i/>
          <w:sz w:val="24"/>
          <w:szCs w:val="24"/>
          <w:lang w:val="es-AR"/>
        </w:rPr>
        <w:t>Oficial website</w:t>
      </w:r>
      <w:r>
        <w:rPr>
          <w:rFonts w:ascii="Calibri" w:hAnsi="Calibri"/>
          <w:sz w:val="24"/>
          <w:szCs w:val="24"/>
          <w:lang w:val="es-AR"/>
        </w:rPr>
        <w:t xml:space="preserve">. </w:t>
      </w:r>
      <w:hyperlink r:id="rId3">
        <w:r>
          <w:rPr>
            <w:rStyle w:val="EnlacedeInternet"/>
            <w:rFonts w:ascii="Calibri" w:hAnsi="Calibri"/>
            <w:sz w:val="24"/>
            <w:szCs w:val="24"/>
            <w:lang w:val="es-AR"/>
          </w:rPr>
          <w:t>http://www.iaia.org/</w:t>
        </w:r>
      </w:hyperlink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>International Finance Corporation (IFC). 2012. Normas de Desempeño sobre Sostenibilidad Ambiental y Social. Washington: WBG-IFC.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>International Finance Corporation (IFC). 2012. Notas de orientación de la Corporación Financiera Internacional: Normas de desempeño sobre sostenibilidad ambiental y social. Washington: WBG-IFC.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International Finance Corporation (IFC). 2015.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Manual de Buena Práctica. Evaluación y Gestión de Impactos Acumulativos: Guía para el Sector Privado en Mercados Emergentes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Washington: WBG-IFC.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Jordan, R.; Simioni, D. 2003.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Guía de gestión urbana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Santiago: UN-CEPAL. División de Desarrollo Sostenible y Asentamientos Humanos.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Moreno Flores, O. 2009. “Gestión ambiental urbana y desarrollo sustentable. Consideraciones desde un enfoque social sobre nuestro hábitat urbano”.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Revista Electrónica Ambiente Total. Ecología, Geografía, Urbanismo y Paisaje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Vol.1. Santiago: Centro de Estudios Arquitectónicos, Urbanísticos y del Paisaje. Universidad Central de Chile.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Moreno Suárez, M. (2008) “La gestión ambiental urbana. El caso de la contaminación atmosférica en Bogotá”.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Revista EAN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 N° 62. Bogotá: Universidad EAN.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National Environmental Policy Act. 2016.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Methods, techniques, and tools for analyzing cumulative effects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Washington.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Observatorio de la Deuda en la Globalización. 2002.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El pasivo ambiental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S/L: Cátedra UNESCO. Tecnologia, Desenvolupament Sostenible Desequilibris i Canvi Global.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O’ Connor, J. 2000. “¿Es posible el capitalismo sostenible?”.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Papeles de Población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 Vol. 6 N° 24. México: Universidad Autónoma del Estado de México Toluca.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O’ Connor, J. 2001.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Causas naturales. Ensayos de marxismo ecológico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>. México: Siglo XXI Editores.</w:t>
      </w:r>
    </w:p>
    <w:p>
      <w:pPr>
        <w:pStyle w:val="BodyText2"/>
        <w:spacing w:lineRule="auto" w:line="240"/>
        <w:ind w:left="284" w:hanging="284"/>
        <w:jc w:val="both"/>
        <w:rPr>
          <w:sz w:val="22"/>
          <w:szCs w:val="22"/>
          <w:lang w:val="es-AR"/>
        </w:rPr>
      </w:pPr>
      <w:r>
        <w:rPr>
          <w:rFonts w:ascii="Calibri" w:hAnsi="Calibri"/>
          <w:sz w:val="24"/>
          <w:szCs w:val="24"/>
          <w:lang w:val="es-AR"/>
        </w:rPr>
        <w:t xml:space="preserve">Organización de Naciones Unidas (ONU). 2011. </w:t>
      </w:r>
      <w:r>
        <w:rPr>
          <w:rFonts w:ascii="Calibri" w:hAnsi="Calibri"/>
          <w:i/>
          <w:sz w:val="24"/>
          <w:szCs w:val="24"/>
          <w:lang w:val="es-AR"/>
        </w:rPr>
        <w:t>Principios Rectores de las Naciones Unidas sobre las Empresas y los Derechos Humanos</w:t>
      </w:r>
      <w:r>
        <w:rPr>
          <w:rFonts w:ascii="Calibri" w:hAnsi="Calibri"/>
          <w:sz w:val="24"/>
          <w:szCs w:val="24"/>
          <w:lang w:val="es-AR"/>
        </w:rPr>
        <w:t>. Washington.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Paiva, V.; Perelman, M. 2000. “Aproximación histórica a la recolección formal e informal en la ciudad de Buenos Aires: la “quema” de Parque Patricios (1860-1917) y la del Bajo Flores (1920-1977)”.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Revista Theomai. Estudios sobre Sociedad y Desarrollo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 N° 21. Buenos Aires: Biblós.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Russi, D.; Martínez Alier, J. 2002. “Los pasivos ambientales”. </w:t>
      </w:r>
      <w:r>
        <w:rPr>
          <w:rFonts w:eastAsia="Calibri" w:ascii="Calibri" w:hAnsi="Calibri"/>
          <w:i/>
          <w:color w:val="000000"/>
          <w:sz w:val="24"/>
          <w:szCs w:val="24"/>
          <w:lang w:val="es-AR"/>
        </w:rPr>
        <w:t>Debates Ambientales</w:t>
      </w:r>
      <w:r>
        <w:rPr>
          <w:rFonts w:eastAsia="Calibri" w:ascii="Calibri" w:hAnsi="Calibri"/>
          <w:color w:val="000000"/>
          <w:sz w:val="24"/>
          <w:szCs w:val="24"/>
          <w:lang w:val="es-AR"/>
        </w:rPr>
        <w:t xml:space="preserve"> N° 24. Valencia: Faximil Edicions Digitals.</w:t>
      </w:r>
    </w:p>
    <w:p>
      <w:pPr>
        <w:pStyle w:val="Normal"/>
        <w:spacing w:before="0" w:after="120"/>
        <w:ind w:left="284" w:hanging="284"/>
        <w:jc w:val="both"/>
        <w:rPr>
          <w:spacing w:val="-2"/>
          <w:sz w:val="22"/>
          <w:szCs w:val="22"/>
          <w:lang w:val="es-AR"/>
        </w:rPr>
      </w:pPr>
      <w:r>
        <w:rPr>
          <w:rFonts w:ascii="Calibri" w:hAnsi="Calibri"/>
          <w:spacing w:val="-2"/>
          <w:sz w:val="24"/>
          <w:szCs w:val="24"/>
          <w:lang w:val="es-AR"/>
        </w:rPr>
        <w:t xml:space="preserve">Silva, F. 2011. </w:t>
      </w:r>
      <w:r>
        <w:rPr>
          <w:rFonts w:ascii="Calibri" w:hAnsi="Calibri"/>
          <w:i/>
          <w:spacing w:val="-2"/>
          <w:sz w:val="24"/>
          <w:szCs w:val="24"/>
          <w:lang w:val="es-AR"/>
        </w:rPr>
        <w:t>Manual de Identificación de Peligros y Evaluación de Riesgos IPER 10</w:t>
      </w:r>
      <w:r>
        <w:rPr>
          <w:rFonts w:ascii="Calibri" w:hAnsi="Calibri"/>
          <w:spacing w:val="-2"/>
          <w:sz w:val="24"/>
          <w:szCs w:val="24"/>
          <w:lang w:val="es-AR"/>
        </w:rPr>
        <w:t>. En línea. Lima.</w:t>
      </w:r>
    </w:p>
    <w:p>
      <w:pPr>
        <w:pStyle w:val="Normal"/>
        <w:spacing w:before="0" w:after="120"/>
        <w:ind w:left="284" w:hanging="284"/>
        <w:jc w:val="both"/>
        <w:rPr>
          <w:spacing w:val="-2"/>
          <w:sz w:val="22"/>
          <w:szCs w:val="22"/>
          <w:lang w:val="es-AR"/>
        </w:rPr>
      </w:pPr>
      <w:r>
        <w:rPr>
          <w:rFonts w:ascii="Calibri" w:hAnsi="Calibri"/>
          <w:spacing w:val="-2"/>
          <w:sz w:val="24"/>
          <w:szCs w:val="24"/>
          <w:lang w:val="es-AR"/>
        </w:rPr>
        <w:t xml:space="preserve">Ulloa-Enríquez, M. 2012. “Riesgos del Trabajo en el Sistema de Gestión de Calidad”. </w:t>
      </w:r>
      <w:r>
        <w:rPr>
          <w:rFonts w:ascii="Calibri" w:hAnsi="Calibri"/>
          <w:i/>
          <w:spacing w:val="-2"/>
          <w:sz w:val="24"/>
          <w:szCs w:val="24"/>
          <w:lang w:val="es-AR"/>
        </w:rPr>
        <w:t>Ing. Ind.</w:t>
      </w:r>
      <w:r>
        <w:rPr>
          <w:rFonts w:ascii="Calibri" w:hAnsi="Calibri"/>
          <w:spacing w:val="-2"/>
          <w:sz w:val="24"/>
          <w:szCs w:val="24"/>
          <w:lang w:val="es-AR"/>
        </w:rPr>
        <w:t xml:space="preserve"> vol.33 no.2. La Habana.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ascii="Calibri" w:hAnsi="Calibri"/>
          <w:spacing w:val="-2"/>
          <w:sz w:val="24"/>
          <w:szCs w:val="24"/>
          <w:lang w:val="es-AR"/>
        </w:rPr>
        <w:t xml:space="preserve">Universidad Pedagógica Nacional (UPN). 2006. </w:t>
      </w:r>
      <w:r>
        <w:rPr>
          <w:rFonts w:ascii="Calibri" w:hAnsi="Calibri"/>
          <w:i/>
          <w:spacing w:val="-2"/>
          <w:sz w:val="24"/>
          <w:szCs w:val="24"/>
          <w:lang w:val="es-AR"/>
        </w:rPr>
        <w:t>Riesgos ambientales: guía institucional de gestión ambiental identificación y evaluación</w:t>
      </w:r>
      <w:r>
        <w:rPr>
          <w:rFonts w:ascii="Calibri" w:hAnsi="Calibri"/>
          <w:spacing w:val="-2"/>
          <w:sz w:val="24"/>
          <w:szCs w:val="24"/>
          <w:lang w:val="es-AR"/>
        </w:rPr>
        <w:t>. Colombia.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ascii="Calibri" w:hAnsi="Calibri"/>
          <w:sz w:val="24"/>
          <w:szCs w:val="24"/>
          <w:lang w:val="es-AR"/>
        </w:rPr>
        <w:t xml:space="preserve">University of East Anglia. 2017. </w:t>
      </w:r>
      <w:r>
        <w:rPr>
          <w:rFonts w:ascii="Calibri" w:hAnsi="Calibri"/>
          <w:i/>
          <w:sz w:val="24"/>
          <w:szCs w:val="24"/>
          <w:lang w:val="es-AR"/>
        </w:rPr>
        <w:t>Modelo de interpolación y extrapolación de datos Climate Research Unit</w:t>
      </w:r>
      <w:r>
        <w:rPr>
          <w:rFonts w:ascii="Calibri" w:hAnsi="Calibri"/>
          <w:sz w:val="24"/>
          <w:szCs w:val="24"/>
          <w:lang w:val="es-AR"/>
        </w:rPr>
        <w:t xml:space="preserve"> (CRU) . University of East Anglia, Reino Unido.</w:t>
      </w:r>
    </w:p>
    <w:p>
      <w:pPr>
        <w:pStyle w:val="Titular"/>
        <w:spacing w:before="0" w:after="120"/>
        <w:ind w:left="0" w:hanging="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  <w:lang w:val="es-AR"/>
        </w:rPr>
      </w:r>
    </w:p>
    <w:sectPr>
      <w:footerReference w:type="default" r:id="rId4"/>
      <w:footerReference w:type="first" r:id="rId5"/>
      <w:type w:val="nextPage"/>
      <w:pgSz w:w="12240" w:h="15840"/>
      <w:pgMar w:left="1418" w:right="1134" w:header="0" w:top="1134" w:footer="851" w:bottom="1985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>
        <w:lang w:val="es-AR"/>
      </w:rPr>
    </w:pPr>
    <w:r>
      <w:rPr>
        <w:b/>
        <w:i/>
        <w:sz w:val="20"/>
        <w:lang w:val="es-AR"/>
      </w:rPr>
      <w:tab/>
      <w:tab/>
      <w:tab/>
      <w:tab/>
      <w:tab/>
      <w:tab/>
      <w:tab/>
      <w:tab/>
      <w:tab/>
      <w:tab/>
      <w:tab/>
      <w:tab/>
    </w:r>
  </w:p>
  <w:p>
    <w:pPr>
      <w:pStyle w:val="Piedepgina"/>
      <w:jc w:val="center"/>
      <w:rPr>
        <w:b/>
        <w:b/>
        <w:i/>
        <w:i/>
        <w:sz w:val="20"/>
        <w:lang w:val="es-AR"/>
      </w:rPr>
    </w:pPr>
    <w:r>
      <w:rPr>
        <w:b/>
        <w:i/>
        <w:sz w:val="20"/>
        <w:lang w:val="es-A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b/>
        <w:b/>
        <w:i/>
        <w:i/>
        <w:sz w:val="20"/>
      </w:rPr>
    </w:pPr>
    <w:r>
      <w:rPr>
        <w:lang w:val="es-AR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9"/>
  <w:embedSystemFonts/>
  <w:defaultTabStop w:val="284"/>
  <w:compat>
    <w:compatSetting w:name="compatibilityMode" w:uri="http://schemas.microsoft.com/office/word" w:val="12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ES" w:bidi="ar-SA"/>
      </w:rPr>
    </w:rPrDefault>
    <w:pPrDefault>
      <w:pPr/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6a4a36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eastAsia="es-ES" w:bidi="ar-SA" w:val="es-AR"/>
    </w:rPr>
  </w:style>
  <w:style w:type="paragraph" w:styleId="Ttulo1">
    <w:name w:val="Heading 1"/>
    <w:basedOn w:val="Normal"/>
    <w:next w:val="Normal"/>
    <w:qFormat/>
    <w:rsid w:val="00d90957"/>
    <w:pPr>
      <w:keepNext/>
      <w:widowControl/>
      <w:jc w:val="both"/>
      <w:outlineLvl w:val="0"/>
    </w:pPr>
    <w:rPr>
      <w:b/>
      <w:smallCaps/>
      <w:sz w:val="28"/>
      <w:szCs w:val="28"/>
    </w:rPr>
  </w:style>
  <w:style w:type="paragraph" w:styleId="Ttulo2">
    <w:name w:val="Heading 2"/>
    <w:basedOn w:val="Normal"/>
    <w:next w:val="Normal"/>
    <w:qFormat/>
    <w:rsid w:val="00e74860"/>
    <w:pPr>
      <w:keepNext/>
      <w:widowControl/>
      <w:numPr>
        <w:ilvl w:val="1"/>
        <w:numId w:val="1"/>
      </w:numPr>
      <w:jc w:val="both"/>
      <w:outlineLvl w:val="1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6a4a36"/>
    <w:pPr>
      <w:keepNext/>
      <w:widowControl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a4a36"/>
    <w:pPr>
      <w:keepNext/>
      <w:keepLines/>
      <w:widowControl/>
      <w:spacing w:before="120" w:after="0"/>
      <w:ind w:left="567" w:hanging="567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a4a36"/>
    <w:pPr>
      <w:widowControl/>
      <w:tabs>
        <w:tab w:val="left" w:pos="0" w:leader="none"/>
      </w:tabs>
      <w:spacing w:before="240" w:after="60"/>
      <w:jc w:val="both"/>
      <w:outlineLvl w:val="4"/>
    </w:pPr>
    <w:rPr/>
  </w:style>
  <w:style w:type="paragraph" w:styleId="Ttulo6">
    <w:name w:val="Heading 6"/>
    <w:basedOn w:val="Normal"/>
    <w:next w:val="Normal"/>
    <w:qFormat/>
    <w:rsid w:val="006a4a3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a4a36"/>
    <w:pPr>
      <w:widowControl/>
      <w:tabs>
        <w:tab w:val="left" w:pos="0" w:leader="none"/>
      </w:tabs>
      <w:spacing w:before="240" w:after="60"/>
      <w:jc w:val="both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6a4a36"/>
    <w:pPr>
      <w:keepNext/>
      <w:spacing w:before="120" w:after="120"/>
      <w:jc w:val="center"/>
      <w:outlineLvl w:val="7"/>
    </w:pPr>
    <w:rPr>
      <w:sz w:val="32"/>
    </w:rPr>
  </w:style>
  <w:style w:type="paragraph" w:styleId="Ttulo9">
    <w:name w:val="Heading 9"/>
    <w:basedOn w:val="Normal"/>
    <w:next w:val="Normal"/>
    <w:qFormat/>
    <w:rsid w:val="006a4a36"/>
    <w:pPr>
      <w:keepNext/>
      <w:jc w:val="center"/>
      <w:outlineLvl w:val="8"/>
    </w:pPr>
    <w:rPr>
      <w:b/>
      <w:small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a4a36"/>
    <w:rPr/>
  </w:style>
  <w:style w:type="character" w:styleId="EnlacedeInternet">
    <w:name w:val="Enlace de Internet"/>
    <w:basedOn w:val="DefaultParagraphFont"/>
    <w:uiPriority w:val="99"/>
    <w:rsid w:val="00341519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qFormat/>
    <w:rsid w:val="005d31a3"/>
    <w:rPr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436b63"/>
    <w:rPr/>
  </w:style>
  <w:style w:type="character" w:styleId="Bookheader2titledevice" w:customStyle="1">
    <w:name w:val="book-header-2-title-device"/>
    <w:basedOn w:val="DefaultParagraphFont"/>
    <w:qFormat/>
    <w:rsid w:val="00436b63"/>
    <w:rPr/>
  </w:style>
  <w:style w:type="character" w:styleId="Bookheader2subtitleauthor" w:customStyle="1">
    <w:name w:val="book-header-2-subtitle-author"/>
    <w:basedOn w:val="DefaultParagraphFont"/>
    <w:qFormat/>
    <w:rsid w:val="00436b63"/>
    <w:rPr/>
  </w:style>
  <w:style w:type="character" w:styleId="Bookheader2subtitlepublisher" w:customStyle="1">
    <w:name w:val="book-header-2-subtitle-publisher"/>
    <w:basedOn w:val="DefaultParagraphFont"/>
    <w:qFormat/>
    <w:rsid w:val="00436b63"/>
    <w:rPr/>
  </w:style>
  <w:style w:type="character" w:styleId="Bookheader2subtitleisbn" w:customStyle="1">
    <w:name w:val="book-header-2-subtitle-isbn"/>
    <w:basedOn w:val="DefaultParagraphFont"/>
    <w:qFormat/>
    <w:rsid w:val="00436b63"/>
    <w:rPr/>
  </w:style>
  <w:style w:type="character" w:styleId="Strong">
    <w:name w:val="Strong"/>
    <w:basedOn w:val="DefaultParagraphFont"/>
    <w:qFormat/>
    <w:rsid w:val="00436b63"/>
    <w:rPr>
      <w:b/>
      <w:bCs/>
    </w:rPr>
  </w:style>
  <w:style w:type="character" w:styleId="Contributornametrigger" w:customStyle="1">
    <w:name w:val="contributornametrigger"/>
    <w:basedOn w:val="DefaultParagraphFont"/>
    <w:qFormat/>
    <w:rsid w:val="00436b63"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104c35"/>
    <w:rPr>
      <w:sz w:val="24"/>
    </w:rPr>
  </w:style>
  <w:style w:type="character" w:styleId="Textoindependiente3Car" w:customStyle="1">
    <w:name w:val="Texto independiente 3 Car"/>
    <w:basedOn w:val="DefaultParagraphFont"/>
    <w:link w:val="Textoindependiente3"/>
    <w:qFormat/>
    <w:rsid w:val="00913ed8"/>
    <w:rPr>
      <w:sz w:val="16"/>
      <w:szCs w:val="16"/>
    </w:rPr>
  </w:style>
  <w:style w:type="character" w:styleId="S1" w:customStyle="1">
    <w:name w:val="s1"/>
    <w:basedOn w:val="DefaultParagraphFont"/>
    <w:qFormat/>
    <w:rsid w:val="006b4fa0"/>
    <w:rPr>
      <w:rFonts w:ascii="Times" w:hAnsi="Times"/>
      <w:sz w:val="17"/>
      <w:szCs w:val="17"/>
    </w:rPr>
  </w:style>
  <w:style w:type="character" w:styleId="S2" w:customStyle="1">
    <w:name w:val="s2"/>
    <w:basedOn w:val="DefaultParagraphFont"/>
    <w:qFormat/>
    <w:rsid w:val="006b4fa0"/>
    <w:rPr>
      <w:rFonts w:ascii="Times" w:hAnsi="Times"/>
      <w:sz w:val="15"/>
      <w:szCs w:val="15"/>
    </w:rPr>
  </w:style>
  <w:style w:type="character" w:styleId="Textoindependiente2Car" w:customStyle="1">
    <w:name w:val="Texto independiente 2 Car"/>
    <w:basedOn w:val="DefaultParagraphFont"/>
    <w:link w:val="Textoindependiente2"/>
    <w:semiHidden/>
    <w:qFormat/>
    <w:rsid w:val="00600ec5"/>
    <w:rPr>
      <w:sz w:val="24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Symbol"/>
      <w:sz w:val="22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link w:val="TextoindependienteCar"/>
    <w:unhideWhenUsed/>
    <w:rsid w:val="00104c35"/>
    <w:pPr>
      <w:spacing w:before="0" w:after="12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Bullet">
    <w:name w:val="List Bullet"/>
    <w:basedOn w:val="Normal"/>
    <w:autoRedefine/>
    <w:qFormat/>
    <w:rsid w:val="006a4a36"/>
    <w:pPr/>
    <w:rPr/>
  </w:style>
  <w:style w:type="paragraph" w:styleId="BodyTextIndent3">
    <w:name w:val="Body Text Indent 3"/>
    <w:basedOn w:val="Normal"/>
    <w:qFormat/>
    <w:rsid w:val="006a4a36"/>
    <w:pPr>
      <w:widowControl/>
      <w:ind w:left="708" w:hanging="0"/>
      <w:jc w:val="both"/>
    </w:pPr>
    <w:rPr/>
  </w:style>
  <w:style w:type="paragraph" w:styleId="Cabecera">
    <w:name w:val="Header"/>
    <w:basedOn w:val="Normal"/>
    <w:rsid w:val="006a4a36"/>
    <w:pPr>
      <w:widowControl/>
      <w:tabs>
        <w:tab w:val="center" w:pos="4419" w:leader="none"/>
        <w:tab w:val="right" w:pos="8838" w:leader="none"/>
      </w:tabs>
      <w:jc w:val="both"/>
    </w:pPr>
    <w:rPr/>
  </w:style>
  <w:style w:type="paragraph" w:styleId="Piedepgina">
    <w:name w:val="Footer"/>
    <w:basedOn w:val="Normal"/>
    <w:rsid w:val="006a4a36"/>
    <w:pPr>
      <w:widowControl/>
      <w:tabs>
        <w:tab w:val="center" w:pos="4419" w:leader="none"/>
        <w:tab w:val="right" w:pos="8838" w:leader="none"/>
      </w:tabs>
      <w:jc w:val="both"/>
    </w:pPr>
    <w:rPr/>
  </w:style>
  <w:style w:type="paragraph" w:styleId="Footnotetext">
    <w:name w:val="footnote text"/>
    <w:basedOn w:val="Normal"/>
    <w:semiHidden/>
    <w:qFormat/>
    <w:rsid w:val="006a4a36"/>
    <w:pPr>
      <w:jc w:val="both"/>
    </w:pPr>
    <w:rPr/>
  </w:style>
  <w:style w:type="paragraph" w:styleId="Caption">
    <w:name w:val="caption"/>
    <w:basedOn w:val="Normal"/>
    <w:next w:val="Normal"/>
    <w:qFormat/>
    <w:rsid w:val="006a4a36"/>
    <w:pPr>
      <w:spacing w:before="120" w:after="120"/>
      <w:jc w:val="both"/>
    </w:pPr>
    <w:rPr>
      <w:b/>
    </w:rPr>
  </w:style>
  <w:style w:type="paragraph" w:styleId="Hpun" w:customStyle="1">
    <w:name w:val="hpun"/>
    <w:basedOn w:val="Normal"/>
    <w:qFormat/>
    <w:rsid w:val="006a4a36"/>
    <w:pPr>
      <w:keepLines/>
      <w:spacing w:before="120" w:after="0"/>
      <w:ind w:left="1418" w:hanging="284"/>
      <w:jc w:val="both"/>
    </w:pPr>
    <w:rPr/>
  </w:style>
  <w:style w:type="paragraph" w:styleId="H3" w:customStyle="1">
    <w:name w:val="h3"/>
    <w:basedOn w:val="Normal"/>
    <w:next w:val="Normal"/>
    <w:qFormat/>
    <w:rsid w:val="006a4a36"/>
    <w:pPr>
      <w:keepNext/>
      <w:keepLines/>
      <w:spacing w:before="240" w:after="0"/>
    </w:pPr>
    <w:rPr>
      <w:b/>
    </w:rPr>
  </w:style>
  <w:style w:type="paragraph" w:styleId="Cuerpodetextoconsangra">
    <w:name w:val="Body Text Indent"/>
    <w:basedOn w:val="Normal"/>
    <w:rsid w:val="006a4a36"/>
    <w:pPr>
      <w:spacing w:before="0" w:after="120"/>
      <w:ind w:left="283" w:hanging="0"/>
    </w:pPr>
    <w:rPr/>
  </w:style>
  <w:style w:type="paragraph" w:styleId="H" w:customStyle="1">
    <w:name w:val="h"/>
    <w:basedOn w:val="Normal"/>
    <w:qFormat/>
    <w:rsid w:val="006a4a36"/>
    <w:pPr>
      <w:keepLines/>
      <w:spacing w:before="240" w:after="0"/>
      <w:jc w:val="both"/>
    </w:pPr>
    <w:rPr/>
  </w:style>
  <w:style w:type="paragraph" w:styleId="Titular">
    <w:name w:val="Title"/>
    <w:basedOn w:val="Normal"/>
    <w:qFormat/>
    <w:rsid w:val="006a4a36"/>
    <w:pPr>
      <w:spacing w:before="360" w:after="0"/>
      <w:ind w:left="567" w:hanging="0"/>
      <w:jc w:val="center"/>
    </w:pPr>
    <w:rPr>
      <w:b/>
      <w:caps/>
      <w:sz w:val="32"/>
    </w:rPr>
  </w:style>
  <w:style w:type="paragraph" w:styleId="BalloonText">
    <w:name w:val="Balloon Text"/>
    <w:basedOn w:val="Normal"/>
    <w:semiHidden/>
    <w:qFormat/>
    <w:rsid w:val="006a4a36"/>
    <w:pPr/>
    <w:rPr>
      <w:rFonts w:ascii="Tahoma" w:hAnsi="Tahoma" w:cs="Tahoma"/>
      <w:sz w:val="16"/>
      <w:szCs w:val="16"/>
    </w:rPr>
  </w:style>
  <w:style w:type="paragraph" w:styleId="EstiloTtulo1SinVersales" w:customStyle="1">
    <w:name w:val="Estilo Título 1 + Sin Versales"/>
    <w:basedOn w:val="Ttulo1"/>
    <w:qFormat/>
    <w:rsid w:val="00d90957"/>
    <w:pPr>
      <w:spacing w:before="120" w:after="240"/>
    </w:pPr>
    <w:rPr>
      <w:bCs/>
    </w:rPr>
  </w:style>
  <w:style w:type="paragraph" w:styleId="Sumario1">
    <w:name w:val="TOC 1"/>
    <w:basedOn w:val="Normal"/>
    <w:next w:val="Normal"/>
    <w:autoRedefine/>
    <w:semiHidden/>
    <w:rsid w:val="00341519"/>
    <w:pPr/>
    <w:rPr/>
  </w:style>
  <w:style w:type="paragraph" w:styleId="Sumario2">
    <w:name w:val="TOC 2"/>
    <w:basedOn w:val="Normal"/>
    <w:next w:val="Normal"/>
    <w:autoRedefine/>
    <w:semiHidden/>
    <w:rsid w:val="00341519"/>
    <w:pPr>
      <w:ind w:left="240" w:hanging="0"/>
    </w:pPr>
    <w:rPr/>
  </w:style>
  <w:style w:type="paragraph" w:styleId="Annotationtext">
    <w:name w:val="annotation text"/>
    <w:basedOn w:val="Normal"/>
    <w:semiHidden/>
    <w:qFormat/>
    <w:rsid w:val="005d31a3"/>
    <w:pPr/>
    <w:rPr>
      <w:sz w:val="20"/>
    </w:rPr>
  </w:style>
  <w:style w:type="paragraph" w:styleId="Annotationsubject">
    <w:name w:val="annotation subject"/>
    <w:basedOn w:val="Annotationtext"/>
    <w:semiHidden/>
    <w:qFormat/>
    <w:rsid w:val="005d31a3"/>
    <w:pPr/>
    <w:rPr>
      <w:b/>
      <w:bCs/>
    </w:rPr>
  </w:style>
  <w:style w:type="paragraph" w:styleId="ListParagraph">
    <w:name w:val="List Paragraph"/>
    <w:basedOn w:val="Normal"/>
    <w:uiPriority w:val="72"/>
    <w:qFormat/>
    <w:rsid w:val="00fb50c1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Textoindependiente3Car"/>
    <w:qFormat/>
    <w:rsid w:val="00913ed8"/>
    <w:pPr>
      <w:spacing w:before="0" w:after="120"/>
    </w:pPr>
    <w:rPr>
      <w:sz w:val="16"/>
      <w:szCs w:val="16"/>
    </w:rPr>
  </w:style>
  <w:style w:type="paragraph" w:styleId="P1" w:customStyle="1">
    <w:name w:val="p1"/>
    <w:basedOn w:val="Normal"/>
    <w:qFormat/>
    <w:rsid w:val="006b4fa0"/>
    <w:pPr>
      <w:widowControl/>
    </w:pPr>
    <w:rPr>
      <w:rFonts w:ascii="Times" w:hAnsi="Times"/>
      <w:sz w:val="17"/>
      <w:szCs w:val="17"/>
      <w:lang w:eastAsia="en-US"/>
    </w:rPr>
  </w:style>
  <w:style w:type="paragraph" w:styleId="P2" w:customStyle="1">
    <w:name w:val="p2"/>
    <w:basedOn w:val="Normal"/>
    <w:qFormat/>
    <w:rsid w:val="006b4fa0"/>
    <w:pPr>
      <w:widowControl/>
    </w:pPr>
    <w:rPr>
      <w:rFonts w:ascii="Times" w:hAnsi="Times"/>
      <w:sz w:val="15"/>
      <w:szCs w:val="15"/>
      <w:lang w:eastAsia="en-US"/>
    </w:rPr>
  </w:style>
  <w:style w:type="paragraph" w:styleId="P3" w:customStyle="1">
    <w:name w:val="p3"/>
    <w:basedOn w:val="Normal"/>
    <w:qFormat/>
    <w:rsid w:val="008261f1"/>
    <w:pPr>
      <w:widowControl/>
    </w:pPr>
    <w:rPr>
      <w:rFonts w:ascii="Times" w:hAnsi="Times"/>
      <w:sz w:val="12"/>
      <w:szCs w:val="12"/>
      <w:lang w:eastAsia="en-US"/>
    </w:rPr>
  </w:style>
  <w:style w:type="paragraph" w:styleId="P4" w:customStyle="1">
    <w:name w:val="p4"/>
    <w:basedOn w:val="Normal"/>
    <w:qFormat/>
    <w:rsid w:val="008261f1"/>
    <w:pPr>
      <w:widowControl/>
    </w:pPr>
    <w:rPr>
      <w:rFonts w:ascii="Helvetica" w:hAnsi="Helvetica"/>
      <w:sz w:val="3"/>
      <w:szCs w:val="3"/>
      <w:lang w:eastAsia="en-US"/>
    </w:rPr>
  </w:style>
  <w:style w:type="paragraph" w:styleId="P5" w:customStyle="1">
    <w:name w:val="p5"/>
    <w:basedOn w:val="Normal"/>
    <w:qFormat/>
    <w:rsid w:val="008261f1"/>
    <w:pPr>
      <w:widowControl/>
    </w:pPr>
    <w:rPr>
      <w:rFonts w:ascii="Times" w:hAnsi="Times"/>
      <w:sz w:val="27"/>
      <w:szCs w:val="27"/>
      <w:lang w:eastAsia="en-US"/>
    </w:rPr>
  </w:style>
  <w:style w:type="paragraph" w:styleId="BodyText2">
    <w:name w:val="Body Text 2"/>
    <w:basedOn w:val="Normal"/>
    <w:link w:val="Textoindependiente2Car"/>
    <w:semiHidden/>
    <w:unhideWhenUsed/>
    <w:qFormat/>
    <w:rsid w:val="00600ec5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e7609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d.cl/ced/wp-content/uploads/2009/03/gestion-y-fundamentos-de-eia.pdf" TargetMode="External"/><Relationship Id="rId3" Type="http://schemas.openxmlformats.org/officeDocument/2006/relationships/hyperlink" Target="http://www.iaia.org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Application>LibreOffice/5.2.4.2$Linux_X86_64 LibreOffice_project/3d5603e1122f0f102b62521720ab13a38a4e0eb0</Application>
  <Pages>6</Pages>
  <Words>1590</Words>
  <Characters>10143</Characters>
  <CharactersWithSpaces>11672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2017-10-26T21:34:00Z</dcterms:created>
  <dc:creator>..</dc:creator>
  <dc:description/>
  <dc:language>es-AR</dc:language>
  <cp:lastModifiedBy/>
  <cp:lastPrinted>2007-02-06T16:41:00Z</cp:lastPrinted>
  <dcterms:modified xsi:type="dcterms:W3CDTF">2017-11-14T15:47:43Z</dcterms:modified>
  <cp:revision>21</cp:revision>
  <dc:subject/>
  <dc:title>ECOLOGÍA APLICADA 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