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Universidad De Buenos Aires</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Facultad De Filosofía Y Letras</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Maestría en Estudios Culturales de América Latina</w:t>
      </w:r>
    </w:p>
    <w:p w:rsidR="00000000" w:rsidDel="00000000" w:rsidP="00000000" w:rsidRDefault="00000000" w:rsidRPr="00000000">
      <w:pPr>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Seminario de ¨Problemas Historia Latinoamericana Contemporánea”</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b w:val="1"/>
          <w:smallCaps w:val="1"/>
          <w:sz w:val="20"/>
          <w:szCs w:val="20"/>
          <w:rtl w:val="0"/>
        </w:rPr>
        <w:t xml:space="preserve">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Profesor: </w:t>
        <w:tab/>
        <w:t xml:space="preserve">Dr. Daniel H. Mazzei</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Duración: </w:t>
        <w:tab/>
        <w:t xml:space="preserve">32 horas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Fundamentación: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1959, el triunfo de la Revolución Cubana….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1964, con el golpe de Estado que derrocó a Joao Goulart en Brasil, se abre una nueva etapa en para las dictaduras en Latinoamérica. Surgen una serie de regímenes dictatoriales con características diferentes a los tradicionales. Guillermo O´Donnell los ha llamado “burocrático-autoritarios”;  y Alain Rouquié “patrimonialistas”. Esta etapa se cierra con el final de la dictadura de Augusto Pinochet en Chile, en 1991. Durante estos 27 años gran parte de los países del Cono Sur estuvieron gobernados por fuerzas armadas imbuidas de doctrinas militares de carácter contra-revolucionario, que los transformaron en verdaderos cruzados de la lucha anticomunista. En el contexto de la Guerra Fría, estos regímenes se alinearon con los Estados Unidos que, luego de la Revolución Cubana (1959), reorientó su política castrense hacia Latinoamérica, asignándoles a las Fuerzas Armadas de los países de la región la misión de guardianas del orden interno. La llamada “amenaza continental” afianzó la asistencia y cooperación privilegiando el entrenamiento de militares latinoamericanos en técnicas de contrainsurgencia.  En los propios países de la región – en particular en Argentina y Brasil- surge toda una literatura sobre  la “guerra revolucionaria” y comienza a difundirse un nuevo concepto: el de las “fronteras ideológicas”. Los límites que separaban a los adversarios ya no eran geográficos sino ideológicos, puesto que el campo de batalla ya no era el terreno sino las mentes de la población. El concepto de “fronteras ideológicas” alentó el mayor intercambio de información entre las dictaduras del continente. Esa “cooperación represiva” alcanza su punto culminante a partir de 1975 cuando se organiza la “Operación Cóndor”, que incluye la incursión de grupos militares en terceros países para detener y/o asesinar a exiliados y refugiados.</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contexto el propósito del curso es analizar, en perspectiva comparada, a los regímenes burocráticos del Cono Sur entre 1964 y 1991, teniendo en cuenta las influencias doctrinarias externas (tanto francesa como norteamericana); el desarrollo particular que cada una de ellas hace del “enemigo interno”; así como la coordinación informativa y represiva entre ellas.</w:t>
      </w:r>
    </w:p>
    <w:p w:rsidR="00000000" w:rsidDel="00000000" w:rsidP="00000000" w:rsidRDefault="00000000" w:rsidRPr="00000000">
      <w:pPr>
        <w:spacing w:after="0" w:line="36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Objetivos Generales:</w:t>
      </w:r>
    </w:p>
    <w:p w:rsidR="00000000" w:rsidDel="00000000" w:rsidP="00000000" w:rsidRDefault="00000000" w:rsidRPr="00000000">
      <w:pPr>
        <w:numPr>
          <w:ilvl w:val="0"/>
          <w:numId w:val="1"/>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360" w:lineRule="auto"/>
        <w:ind w:left="360" w:hanging="36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Introducir a los doctorandos en el conocimiento de los principales debates en torno a los regímenes burocrático autoritarios sudamericanos y las doctrinas de seguridad nacional.</w:t>
      </w:r>
    </w:p>
    <w:p w:rsidR="00000000" w:rsidDel="00000000" w:rsidP="00000000" w:rsidRDefault="00000000" w:rsidRPr="00000000">
      <w:pPr>
        <w:numPr>
          <w:ilvl w:val="0"/>
          <w:numId w:val="1"/>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360" w:lineRule="auto"/>
        <w:ind w:left="360" w:hanging="36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Orientar a los alumnos, a partir de la lectura de la bibliografía obligatoria, hacia un análisis de la misma que les permita expresar su capacidad crítica en el discurso oral.</w:t>
      </w:r>
    </w:p>
    <w:p w:rsidR="00000000" w:rsidDel="00000000" w:rsidP="00000000" w:rsidRDefault="00000000" w:rsidRPr="00000000">
      <w:pPr>
        <w:numPr>
          <w:ilvl w:val="0"/>
          <w:numId w:val="1"/>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360" w:lineRule="auto"/>
        <w:ind w:left="360" w:hanging="36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Estimular el análisis de nuevas temáticas y perspectivas de investigación.</w:t>
      </w:r>
    </w:p>
    <w:p w:rsidR="00000000" w:rsidDel="00000000" w:rsidP="00000000" w:rsidRDefault="00000000" w:rsidRPr="0000000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360" w:hanging="360"/>
        <w:contextualSpacing w:val="0"/>
        <w:jc w:val="both"/>
        <w:rPr>
          <w:sz w:val="24"/>
          <w:szCs w:val="24"/>
        </w:rPr>
      </w:pPr>
      <w:r w:rsidDel="00000000" w:rsidR="00000000" w:rsidRPr="00000000">
        <w:rPr>
          <w:rFonts w:ascii="Times New Roman" w:cs="Times New Roman" w:eastAsia="Times New Roman" w:hAnsi="Times New Roman"/>
          <w:sz w:val="24"/>
          <w:szCs w:val="24"/>
          <w:rtl w:val="0"/>
        </w:rPr>
        <w:t xml:space="preserve">Contribuir a que los doctorandos sean capaces de formular preguntas historiográficas acerca de algún punto del programa que sea de su interés y que -luego de un análisis crítico de la misma- puedan expresar sus conclusiones en forma escrita.</w:t>
      </w:r>
    </w:p>
    <w:p w:rsidR="00000000" w:rsidDel="00000000" w:rsidP="00000000" w:rsidRDefault="00000000" w:rsidRPr="00000000">
      <w:pPr>
        <w:spacing w:after="0" w:line="36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line="36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Contenidos y Bibliografía obligatoria:</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Unidad 1: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Situación política de América Latina desde mediados del siglo XX: movimientos revolucionarios; populismos. Guatemala y la intervención de la CIA. La Guerra Fría en América Latina. El TIAR y el Sistema Interamericano de Defensa. La seguridad de EEUU como cuestión regional. Programas de Asistencia Militar. Desarrollo y Seguridad. La Alianza para el Progreso. La Revolución Cubana y su influencia en el continente. La Doctrina Mann y los golpes anticomunistas. Acción cívica y entrenamiento militar. Escuela de las Américas.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Roberto García Ferreira,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CIA y el caso Arbenz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Universidad San Carlos de Guatemala, Guatemala, 2009, cap.1, pp.31-66.</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Tulio Halperín Donghi,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Historia Contemporánea de América Latina,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Alianza Editorial, Madrid, 1996 [13° edición revisada y ampliada] cap.6.2 pp.431-517.</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Ernesto López,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Seguridad Nacional y Sedición militar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Legasa, Buenos Aires, 1987, primera parte, págs. 25-77.</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Horacio L. Veneroni,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Estados Unidos y las Fuerzas Armadas de América Latina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Periferia, Buenos Aires, 1971.</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Alain Rouquié,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estado militar en América latina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Emecé, Buenos Aires, 1984, caps. 5 y 8.</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Jorge A. Tapia Valdez,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terrorismo de Estado. La Doctrina de la Seguridad nacional en el Cono Sur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Nueva Sociedad, México, 1980, caps. I y II, págs. 43-100.</w:t>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Unidad 2:</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cuestión de la lucha armada. La misión militar franceses en Buenos Aires y los orígenes de la guerra contrarrevolucionaria. Golbery do Couto e Silva y la Escola Superior do Guerra. La influencia francesa en el Ejército brasileño. Análisis comparado.</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14" w:right="0" w:hanging="357"/>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Robson Freitas de Miranda Junior, “Influências doutrinárias na guerra fria: um estudo comparado envolvendo a capacidade de influência francesa e estadunidense na América latina”, Fernando Nicolazzi, Helena Mollo &amp; Valdei Araujo (org.).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Caderno de resumos &amp; Anais do 4º. Seminário Nacional de História da Historiografia: tempo presente &amp; usos do passado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Ouro Preto: EdUFOP, 2010.</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14" w:right="0" w:hanging="357"/>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Joao Roberto Martins Filho, “A influencia doutrinaria francesa sobre os militares brasileiros nos años de 1960”, RBCS, Vol.23, n°67; junho 2008, pp.39-50.</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14" w:right="0" w:hanging="357"/>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Joao Roberto Martins Filho,  “A conexão francesa da Argélia ao Araguaia”, En VARIA HISTORIA, Belo Horizonte, vol.28, no 48, p.519-536: jul/dez  2012, págs.. 519-536.</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14" w:right="0" w:hanging="357"/>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Daniel Mazzei, Bajo el poder de la caballería, Eudeba, Buenos Aires, 2012, cap.7, págs. 129-164.</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14" w:right="0" w:hanging="357"/>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Rodrigo Nabuco de Araujo, « L’art français de la guerre. Transferts de la doctrine de la guerre révolutionnaire au Brésil (1958-1974)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Cahiers des Amériques latines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ligne], 70 | 2013.  URL : </w:t>
      </w:r>
      <w:hyperlink r:id="rId6">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http://cal.revues.org/2339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14" w:right="0" w:hanging="357"/>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Mario Ranaletti, “Una aproximación a los fundamentos del terrorismo de Estado en la Argentina: la recepción de la noción de “guerra revolucionaria” en el ámbito castrense local (1954-1962)”,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Anuario del Centro de Estudios Históricos “Prof. Carlos S. A. Segreti”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Córdoba (Argentina), año 11, n° 11, 2011, pp. 261-278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Unidad 3:</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Dictaduras, represión y Seguridad Nacional: los Estados burocráticos autoritarios. El golpe militar en Brasil (1964). La “Revolución Argentina” (1966). Uruguay y la “bordaberrización” (1973). Pinochet y el golpe de septiembre de 1973.  Velazco Alvarado y los militares nacionalistas en Perú (1968-1975).</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Gerardo Caetano, y José Pedro Rilla,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Breve historia de la dictadura: 1973-1985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Ediciones de la Banda Oriental, Montevideo, 1987, cap. 1, págs. 19-62. </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Samuel Blixen,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Liber Seregni, el general del pueblo. Militares contra la dictadura en Uruguay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Capital Intelectual, Buenos Aires, 2010, caps. 5 a 8, págs.71-128.</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David Collier, “Visión general del modelo burocrático autoritario”, en en David Collier, Fernando Cardoso,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nuevo autoritarismo en América Latina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FCE, México, 1985.</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José Comblin, “La doctrina de la Seguridad Nacional”,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Dos ensayos sobre Seguridad 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Vicaría de la Solidaridad, Santiago de Chile, 1979, pp. 5-189.</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Manuel Antonio Garretón,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proceso político chileno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FLACSO, Santiago de Chile, 1983, caps. II a IV, págs. 39-108.</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Alberto J. Plá,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Velazco Alvarado. El nuevo nacionalismo en Perú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CEAL, Buenos Aires, 1972.</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Ramírez, Hernán, “El golpe de Estado de 1964 en Brasil desde una perspectiva socio-política”,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PolHis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Año 5, N°9, primer semestre 2012, pp.255-266.</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Stepan, Alfred,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Brasil, los militares y la política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Amorrotu, 1974. Capítulos 8 y 9, pp.203-249.</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Jorge A. Tapia Valdez,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terrorismo de Estado. La Doctrina de la Seguridad nacional en el Cono Sur.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Nueva Sociedad, México, 1980, caps. IV, págs. 123-136.</w:t>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Unidad 4: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“fronteras ideológicas”. Coordinación represiva en América Latina. ¿Plan Cóndor u Operación Cóndor? Estados Unidos y su relación con las dictaduras latinoamericanas. Las agencias de inteligencia en el Cono Sur. La “tercera guerra mundial” y la exportación del modelo represivo a América Central.</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Ariel Armony,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Argentina, los Estados Unidos y la cruzada anticomunista en América central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1977-1984. UNQ, Bernal, 1999, cap.2, pp.71-119</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Daniel Mazzei, “El águila y el cóndor. La relación entre el Departamento de Estado y la dictadura argentina durante la Administración Ford (1976-1977)”,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Huellas de los Estados Unidos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n°5, pp. 9-25. </w:t>
      </w:r>
      <w:hyperlink r:id="rId7">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http://www.huellasdeeua.com.ar/ediciones/edicion5/09-25_Mazzei.pdf</w:t>
        </w:r>
      </w:hyperlink>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 Patrice McSherry,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Predatory States.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Operation Condor and Covert War in Latin America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Rowman &amp; Littlefield Publishers, 2005.</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Enrique Serra Padrós, “El vuelo del cóndor en la frontera uruguayo-brasileña: la conexión represiva internacional y el operativo Zapatos Rotos”,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Estudios Históricos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CDHRP- mayo 2009 - Nº 1</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Alfred Stepan,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Repensando a los militares en política. Cono Sur: una análisis comparado.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Planeta. Buenos Aires, 1988, cap. 2, págs. 30-47.</w:t>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Unidad 5:</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oleada democratizadora. Transiciones pactadas y transiciones por colapso. Los militares durante las transiciones democráticas en el Cono Sur. Memorias militares sobre la represión. Los militares ante los informes por la Verdad. El fin de las dictaduras.</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Waldo Ansaldi, “Matriuskas de terror. Algunos elementos para analizar la dictadura argentina dentro de las dictaduras del Cono Sur”, en Alfredo Pucciarelli (coord.),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Empresarios, tecnócratas y militares. La trama corporativa de la última dictadura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Siglo veintiuno editores Argentina, Buenos Aires, 2004.</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Aldo Marchesi, “Vencedores vencidos: la respuestas militares frente a los informes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Nunca Más en el Cono Sur”, en Eric Hershberg, Felipe Agüero (Coord.), Memorias militares sobre la represión en el Cono Sur: Visiones en disputa en dictadura y democracia, Madrid, Siglo XXI de España, 2006.</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Daniel Mazzei, “Reflexiones sobre la transición democrática argentina”,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PolHis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Año IV, nº7 (primer semestre de 2011), págs.8-15.</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Guillermo O´Donnell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Transiciones desde un gobierno autoritario. América latina. Buenos Aires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Paidós, 1986, cap.1, pp. 15-36.</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Valentina Salvi,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 vencedores a víctimas. Memorias militares sobre el pasado reciente en la Argentina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Editorial Biblos, Buenos Aires, 2012,  cap.1, págs. 29-72.</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Alfred Stepan,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Repensando a los militares en política. Cono Sur: una análisis comparado.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Planeta. Buenos Aires, 1988, caps. 7 y 8, págs.116-173.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Bibliografía Complementaria:</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Cynthia J. Arnson, y Tamara Tarasiuk (comp.),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Relaciones bilaterales entre Argentina y Estados Unidos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Pasado y Presente, Woodrow Wilson Internacional Center for Scholars, Washington DC, 2004.</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Samuel Blixen,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vientre del Cóndor. Del Archivo del Terror al caso Berrios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Ediciones de Brecha, Montevideo,1994.</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Samuel Blixen, Liber Seregni  general del pueblo. Militares contra la dictadura en Uruguay. Buenos Aires, capital intelectual, 2009.</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Stella Calloni,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Los Años del Lobo. Operación Cóndor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Peña Lillo-Ediciones Continente, Buenos Aires, 1999.</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José Luis D´Andrea  Mohr (h),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Memoria deVida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Colihue, Buenos Aires, 1999.</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 Dinges,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Operación Cóndor. Una década de terrorismo internacional en el Cono Sur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Ediciones B, Santiago de Chile, 2004.</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Manuel Antonio Garretón, "Proyecto, trayectoria y balance de las dictaduras en el Cono Sur: Un Balance"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Alternativas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 2, CERC, Santiago de Chile, Enero- Abril 1984.</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Franck Gaudichaud, “L´ombre du Condor. Contre-révolution et Terrorisme International dans le Cone Sud”,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Revue de Civilisation Contemporaine de l’Université de Bretagne Occidentale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sept. 2003.</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Leslie Gill,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School of the Americas: Military Training and Political Violence in the Americas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Duke University Press, Durham, NC, 2004.</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Eric Hersberg y Felipe Agüero (Comps),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Memorias militares sobre la represión en el Cono Sur: visiones en disputa en dictadura y democracia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Siglo XXI de España Editores/ Siglo XXI de Argentina Editores, Madrid, 2005.</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Vania Markarian,  “Una mirada desde Uruguay a la coordinación represiva regional, 1973-1984”, en Ernesto Bohoslavsky, Marina Franco, Mariana Iglesias y Daniel Lvovich (editores),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Problemas de historia reciente del Cono Sur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Universidad Nacional de General Sarmiento y Universidad Nacional de General San Martín, Buenos Aires, 2009</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Daniel Mazzei, “La misión militar francesa en la Escuela Superior de Guerra y los orígenes de la Guerra Sucia, 1957-1961”,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de Ciencias Sociales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 Universidad nacional de Quilmes (diciembre de 2002).</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Daniel Mazzei, “El Ejército argentino y la asistencia militar norteamericana durante la Guerra Fría”,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Taller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nº 20, abril de 2003.</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Nabucco de Araujo, Rodrigo,” A influencia francesa dentro do exército brasileiro (1930-1964): declínio o permanencia?”,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Esbocos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N°20.</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Nabuco de Araujo, Rodrigo, “Secret et politique: la dictadure militaire a la epreuve desarchives franco-bresiliennes (1964-1985)”,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L'Ordinaire des Amériques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ligne], 214 | 2010, mis en ligne le 23 février 2014, consulté le 01 juillet 2014. URL : </w:t>
      </w:r>
      <w:hyperlink r:id="rId8">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http://orda.revues.org/618</w:t>
        </w:r>
      </w:hyperlink>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Guillermo O´Donnell, y Philippe Schmitter,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Transiciones desde un gobierno autoritario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Prometeo, Buenos Aires, 2010.</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PRESIDENCIA DE LA REPÚBLICA DE URUGUAY. Investigación Histórica sobre detenidos desaparecidos. 5 Tomos. Dirección Nacional de Impresiones y Publicaciones Oficiales, Montevideo, 2007.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Pedro Rivas Nieto, María Rodríguez Fernández, “Autoritarismo, totalitarismo y doctrina de seguridad nacional” Espacios Públicos, vol. 13, núm. 29, diciembre, 2010, pp. 99-118.</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Marie Monique Robin,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Los escuadrones de la muerte. La escuela francesa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Planeta, Buenos Aires, 2004.</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Enrique Serra Padrós, “História do tempo presente, ditaduras de seguranca nacional e arquivos repressivos”,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Tempo e Argumento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Florianópolis, n°1, vol.1, jan/jun 2009, págs. 30-45.</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Enrique Serra Padros, “A ditadura civil-militar uruguaia. Doutrina e segurança nacional”, en VARIA HISTORIA, Belo Horizonte, vol.28, no 48, p.495-517: jul/dez 2012, pp.  495-517</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Melisa Slatman, “Un ejercicio cuantitativo y cualitativo sobre la desaparición y ejecución extraterritorial de ciudadanos argentinos en el Cono Sur (1975-1980)”.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Historia, Voces y Memorias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Nº 1, Revista  del Programa de Historia Oral de la Universidad de Buenos Aires,  Buenos Aires, 2009.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Condiciones para la aprobación del seminario:</w:t>
      </w:r>
    </w:p>
    <w:p w:rsidR="00000000" w:rsidDel="00000000" w:rsidP="00000000" w:rsidRDefault="00000000" w:rsidRPr="00000000">
      <w:pPr>
        <w:numPr>
          <w:ilvl w:val="0"/>
          <w:numId w:val="3"/>
        </w:numPr>
        <w:spacing w:after="0" w:line="360" w:lineRule="auto"/>
        <w:ind w:left="720" w:right="-13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La asistencia será de cumplimiento obligatorio en un 75% de las clases programadas.</w:t>
      </w:r>
    </w:p>
    <w:p w:rsidR="00000000" w:rsidDel="00000000" w:rsidP="00000000" w:rsidRDefault="00000000" w:rsidRPr="00000000">
      <w:pPr>
        <w:numPr>
          <w:ilvl w:val="0"/>
          <w:numId w:val="3"/>
        </w:numPr>
        <w:spacing w:after="0" w:before="0" w:line="360" w:lineRule="auto"/>
        <w:ind w:left="720" w:right="-13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La evaluación consistirá en un coloquio o un trabajo escrito, acorde a las características del proceso pedagógico realizado.</w:t>
      </w:r>
    </w:p>
    <w:p w:rsidR="00000000" w:rsidDel="00000000" w:rsidP="00000000" w:rsidRDefault="00000000" w:rsidRPr="00000000">
      <w:pPr>
        <w:numPr>
          <w:ilvl w:val="0"/>
          <w:numId w:val="3"/>
        </w:numPr>
        <w:spacing w:after="0" w:before="0" w:line="360" w:lineRule="auto"/>
        <w:ind w:left="720" w:right="-136" w:hanging="360"/>
        <w:contextualSpacing w:val="1"/>
        <w:jc w:val="both"/>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Para la presentación de los trabajos finales el maestrando contará como plazo máximo 6 meses después de finalizada la actividad.</w:t>
      </w:r>
      <w:r w:rsidDel="00000000" w:rsidR="00000000" w:rsidRPr="00000000">
        <w:rPr>
          <w:rtl w:val="0"/>
        </w:rPr>
      </w:r>
    </w:p>
    <w:sectPr>
      <w:footerReference r:id="rId9" w:type="default"/>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cal.revues.org/2339" TargetMode="External"/><Relationship Id="rId7" Type="http://schemas.openxmlformats.org/officeDocument/2006/relationships/hyperlink" Target="http://www.huellasdeeua.com.ar/ediciones/edicion5/09-25_Mazzei.pdf" TargetMode="External"/><Relationship Id="rId8" Type="http://schemas.openxmlformats.org/officeDocument/2006/relationships/hyperlink" Target="http://orda.revues.org/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