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0" w:hanging="2"/>
        <w:rPr>
          <w:rFonts w:ascii="Cambria" w:cs="Cambria" w:eastAsia="Cambria" w:hAnsi="Cambri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1471140</wp:posOffset>
            </wp:positionH>
            <wp:positionV relativeFrom="paragraph">
              <wp:posOffset>0</wp:posOffset>
            </wp:positionV>
            <wp:extent cx="2461895" cy="160210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3" l="-7" r="-4" t="-13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1602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rPr>
          <w:rFonts w:ascii="Cambria" w:cs="Cambria" w:eastAsia="Cambria" w:hAnsi="Cambri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rPr>
          <w:rFonts w:ascii="Cambria" w:cs="Cambria" w:eastAsia="Cambria" w:hAnsi="Cambri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rPr>
          <w:rFonts w:ascii="Cambria" w:cs="Cambria" w:eastAsia="Cambria" w:hAnsi="Cambri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SEMINARIO DE PROGRAMA DE ACTUALIZACIÓN: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jc w:val="center"/>
        <w:rPr>
          <w:rFonts w:ascii="Cambria" w:cs="Cambria" w:eastAsia="Cambria" w:hAnsi="Cambria"/>
          <w:b w:val="1"/>
          <w:color w:val="00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Crítica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  <w:t xml:space="preserve">Docente/s a cargo: Lic. Mariana Rodríguez</w:t>
      </w:r>
    </w:p>
    <w:p w:rsidR="00000000" w:rsidDel="00000000" w:rsidP="00000000" w:rsidRDefault="00000000" w:rsidRPr="00000000" w14:paraId="00000009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  <w:t xml:space="preserve">Carga horaria: 16 hs</w:t>
      </w:r>
    </w:p>
    <w:p w:rsidR="00000000" w:rsidDel="00000000" w:rsidP="00000000" w:rsidRDefault="00000000" w:rsidRPr="00000000" w14:paraId="0000000A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  <w:t xml:space="preserve">Cuatrimestre, año: 1º cuatrimestre 2023</w:t>
      </w:r>
    </w:p>
    <w:p w:rsidR="00000000" w:rsidDel="00000000" w:rsidP="00000000" w:rsidRDefault="00000000" w:rsidRPr="00000000" w14:paraId="0000000B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Fundamentación</w:t>
      </w:r>
    </w:p>
    <w:p w:rsidR="00000000" w:rsidDel="00000000" w:rsidP="00000000" w:rsidRDefault="00000000" w:rsidRPr="00000000" w14:paraId="0000000D">
      <w:pP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  <w:t xml:space="preserve">La expresión “crítica institucional” señalaría el vínculo directo que existe entre un procedimiento y un objeto: el método es la crítica y el objeto es la institución; más concretamente: un procedimiento crítico-artístico que pone en cuestión los modos de hacer de las instituciones: en principio del Museo, pero también de las galerías y colecciones, tanto como los agentes participantes del campo, hoy ya institucionalizados.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  <w:t xml:space="preserve">Por eso que decimos que la crítica institucional se ocupa de las relaciones entre sujetxs, las cuales están siempre tramadas por espacios institucionalizados y precisables. Es, por lo tanto, una herramienta analítica y de articulación espacial y política. </w:t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  <w:t xml:space="preserve">Desde este marco, nos abocaremos a reflexionar y desarmar las configuraciones del museo y la galería en tanto espacios activos de intervención; se promoverán cuestionamientos de las estructuras tradicionales de las instituciones culturales y las metodologías pedagógicas de mediación dentro y fuera de la institución artística. </w:t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Objetivos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0" w:hanging="2"/>
        <w:rPr/>
      </w:pPr>
      <w:r w:rsidDel="00000000" w:rsidR="00000000" w:rsidRPr="00000000">
        <w:rPr>
          <w:rtl w:val="0"/>
        </w:rPr>
        <w:t xml:space="preserve">Promover relecturas contra-hegemónicas a los relatos de la hitoriografía canónica en pos de ampliar los abordajes epistemológicos y conceptuales dominantes.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0" w:hanging="2"/>
        <w:rPr/>
      </w:pPr>
      <w:r w:rsidDel="00000000" w:rsidR="00000000" w:rsidRPr="00000000">
        <w:rPr>
          <w:rtl w:val="0"/>
        </w:rPr>
        <w:t xml:space="preserve">Preguntarse la actualidad –vigencia y transformaciones– de la Crítica Institucional en un contexto en el que la misma categoría fue institucionalizada.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0" w:hanging="2"/>
        <w:rPr/>
      </w:pPr>
      <w:r w:rsidDel="00000000" w:rsidR="00000000" w:rsidRPr="00000000">
        <w:rPr>
          <w:rtl w:val="0"/>
        </w:rPr>
        <w:t xml:space="preserve">Reflexionar críticamente sobre las convergencias entre el arte y las tecnologías, tanto en Argentina y Latinoamérica como en el contexto internacional.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0" w:hanging="2"/>
        <w:rPr/>
      </w:pPr>
      <w:r w:rsidDel="00000000" w:rsidR="00000000" w:rsidRPr="00000000">
        <w:rPr>
          <w:rtl w:val="0"/>
        </w:rPr>
        <w:t xml:space="preserve">Repensar el papel social del museo físico y virtual, junto a la reelaboración de los roles de los agentes participantes del campo.</w:t>
      </w:r>
    </w:p>
    <w:p w:rsidR="00000000" w:rsidDel="00000000" w:rsidP="00000000" w:rsidRDefault="00000000" w:rsidRPr="00000000" w14:paraId="00000019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rPr>
          <w:rFonts w:ascii="Cambria" w:cs="Cambria" w:eastAsia="Cambria" w:hAnsi="Cambria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u w:val="single"/>
          <w:rtl w:val="0"/>
        </w:rPr>
        <w:t xml:space="preserve">Unidad 1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u w:val="single"/>
          <w:rtl w:val="0"/>
        </w:rPr>
        <w:t xml:space="preserve"> El deseo de partir: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u w:val="single"/>
          <w:rtl w:val="0"/>
        </w:rPr>
        <w:t xml:space="preserve">¿c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u w:val="single"/>
          <w:rtl w:val="0"/>
        </w:rPr>
        <w:t xml:space="preserve">ómo escapar a la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u w:val="single"/>
          <w:rtl w:val="0"/>
        </w:rPr>
        <w:t xml:space="preserve">historización de la crítica institucional?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  <w:t xml:space="preserve">Recorrido a contrapelo de la historia del arte mirando en dirección a la Crítica Institucional - Artistas, obras y discursos producidos dentro del período 1960 a 2010 - Primera, segunda y ¿tercera? ola de la crítica institucional “canónica” - Repensar la canonización de la crítica institucional - Robert Smithson y su visión de las violencias anti administrativas - Andrea Fraser: performance, feminismo y crítica desde adentro - La práctica de una clínica (formas y fuerzas en Lygia Clarck) como ejercicio artístico (según Suely Rolnik) - Las TAZ (zona autónoma temporal) de finales de los 90: anarquía y espontaneidad - Derivas del net.art, una introducción (1994 - 1999)</w:t>
      </w:r>
    </w:p>
    <w:p w:rsidR="00000000" w:rsidDel="00000000" w:rsidP="00000000" w:rsidRDefault="00000000" w:rsidRPr="00000000" w14:paraId="0000001E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Lecturas obligatorias:</w:t>
      </w:r>
    </w:p>
    <w:p w:rsidR="00000000" w:rsidDel="00000000" w:rsidP="00000000" w:rsidRDefault="00000000" w:rsidRPr="00000000" w14:paraId="00000020">
      <w:pPr>
        <w:ind w:left="0" w:hanging="2"/>
        <w:rPr/>
      </w:pPr>
      <w:r w:rsidDel="00000000" w:rsidR="00000000" w:rsidRPr="00000000">
        <w:rPr>
          <w:rtl w:val="0"/>
        </w:rPr>
        <w:t xml:space="preserve">Alonso, Rodrigo; “Elogio a la low tech” en Low Tech - Hi Fi (catálogo). Buenos Aires: Fundación Jorge F Klemm, 2002.</w:t>
      </w:r>
    </w:p>
    <w:p w:rsidR="00000000" w:rsidDel="00000000" w:rsidP="00000000" w:rsidRDefault="00000000" w:rsidRPr="00000000" w14:paraId="0000002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/>
      </w:pPr>
      <w:r w:rsidDel="00000000" w:rsidR="00000000" w:rsidRPr="00000000">
        <w:rPr>
          <w:rtl w:val="0"/>
        </w:rPr>
        <w:t xml:space="preserve">Smithson, Robert; “Cultural Confinement” (1972), en Jack Flam (ed.), Robert Smithson: The Collected Writings, Berkeley, University of California Press, 1996</w:t>
      </w:r>
    </w:p>
    <w:p w:rsidR="00000000" w:rsidDel="00000000" w:rsidP="00000000" w:rsidRDefault="00000000" w:rsidRPr="00000000" w14:paraId="0000002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rPr/>
      </w:pPr>
      <w:r w:rsidDel="00000000" w:rsidR="00000000" w:rsidRPr="00000000">
        <w:rPr>
          <w:rtl w:val="0"/>
        </w:rPr>
        <w:t xml:space="preserve">Fraser, Andrea; “From the Critique of Institutions to an Institution of Critique”, en Artforum,  septiembre de 2005, XLIV, nº 1, págs. 278-283.</w:t>
      </w:r>
    </w:p>
    <w:p w:rsidR="00000000" w:rsidDel="00000000" w:rsidP="00000000" w:rsidRDefault="00000000" w:rsidRPr="00000000" w14:paraId="0000002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" w:hanging="3"/>
        <w:rPr>
          <w:rFonts w:ascii="Cambria" w:cs="Cambria" w:eastAsia="Cambria" w:hAnsi="Cambria"/>
          <w:b w:val="1"/>
          <w:sz w:val="26"/>
          <w:szCs w:val="2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u w:val="single"/>
          <w:rtl w:val="0"/>
        </w:rPr>
        <w:t xml:space="preserve">Unidad 2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u w:val="single"/>
          <w:rtl w:val="0"/>
        </w:rPr>
        <w:t xml:space="preserve">Incendiar algo: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u w:val="single"/>
          <w:rtl w:val="0"/>
        </w:rPr>
        <w:t xml:space="preserve"> ¿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u w:val="single"/>
          <w:rtl w:val="0"/>
        </w:rPr>
        <w:t xml:space="preserve">crisis, qué crisis?</w:t>
      </w:r>
    </w:p>
    <w:p w:rsidR="00000000" w:rsidDel="00000000" w:rsidP="00000000" w:rsidRDefault="00000000" w:rsidRPr="00000000" w14:paraId="00000027">
      <w:pPr>
        <w:ind w:left="1" w:hanging="3"/>
        <w:rPr>
          <w:rFonts w:ascii="Cambria" w:cs="Cambria" w:eastAsia="Cambria" w:hAnsi="Cambria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/>
      </w:pPr>
      <w:r w:rsidDel="00000000" w:rsidR="00000000" w:rsidRPr="00000000">
        <w:rPr>
          <w:rtl w:val="0"/>
        </w:rPr>
        <w:t xml:space="preserve">La pregunta por la especificidad de la categoría para expandir sus fronteras: la crítica institucional como un período más dentro de la historia del arte o la crítica institucional como procedimiento en sí mismo - Crítica institucional como discurso o como saber hacer - La relevancia de estas preguntas y  los alcances y límites de sus respuestas - De la crítica dirigida por artistas a la crítica promovida por agentes del campo (curadorxs, directorxs de museo, etc) - El museo como entidad (que) critica - Inteligencia artificial para cuestionar el poder de los museos occidentales según Nora Al-Badri</w:t>
      </w:r>
    </w:p>
    <w:p w:rsidR="00000000" w:rsidDel="00000000" w:rsidP="00000000" w:rsidRDefault="00000000" w:rsidRPr="00000000" w14:paraId="0000002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Lecturas obligatorias:</w:t>
      </w:r>
    </w:p>
    <w:p w:rsidR="00000000" w:rsidDel="00000000" w:rsidP="00000000" w:rsidRDefault="00000000" w:rsidRPr="00000000" w14:paraId="0000002B">
      <w:pPr>
        <w:ind w:left="0" w:hanging="2"/>
        <w:rPr/>
      </w:pPr>
      <w:r w:rsidDel="00000000" w:rsidR="00000000" w:rsidRPr="00000000">
        <w:rPr>
          <w:rtl w:val="0"/>
        </w:rPr>
        <w:t xml:space="preserve">Sheikh, Simon; “Notas sobre la crítica institucional” en </w:t>
      </w:r>
      <w:r w:rsidDel="00000000" w:rsidR="00000000" w:rsidRPr="00000000">
        <w:rPr>
          <w:i w:val="1"/>
          <w:rtl w:val="0"/>
        </w:rPr>
        <w:t xml:space="preserve">transveral.at</w:t>
      </w:r>
      <w:r w:rsidDel="00000000" w:rsidR="00000000" w:rsidRPr="00000000">
        <w:rPr>
          <w:rtl w:val="0"/>
        </w:rPr>
        <w:t xml:space="preserve">. Traducción de Marcelo Expósito, revisada por Joaquín Barriendos.</w:t>
      </w:r>
    </w:p>
    <w:p w:rsidR="00000000" w:rsidDel="00000000" w:rsidP="00000000" w:rsidRDefault="00000000" w:rsidRPr="00000000" w14:paraId="0000002C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rPr/>
      </w:pPr>
      <w:r w:rsidDel="00000000" w:rsidR="00000000" w:rsidRPr="00000000">
        <w:rPr>
          <w:rtl w:val="0"/>
        </w:rPr>
        <w:t xml:space="preserve">Steyerl, Hito; “El Museo es una fábrica” en Los condenados de la pantalla, Buenos Aires, 2014, Caja Negra Editora. </w:t>
      </w:r>
    </w:p>
    <w:p w:rsidR="00000000" w:rsidDel="00000000" w:rsidP="00000000" w:rsidRDefault="00000000" w:rsidRPr="00000000" w14:paraId="0000002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rPr/>
      </w:pPr>
      <w:r w:rsidDel="00000000" w:rsidR="00000000" w:rsidRPr="00000000">
        <w:rPr>
          <w:rtl w:val="0"/>
        </w:rPr>
        <w:t xml:space="preserve">Nowotny, Stefan; “Anticanonización. El saber diferencial de la crítica institucional”. Traducción de Gala Pin Ferrando y Glòria Mèlich Bolet, revisada por Joaquín Barriendos</w:t>
      </w:r>
    </w:p>
    <w:p w:rsidR="00000000" w:rsidDel="00000000" w:rsidP="00000000" w:rsidRDefault="00000000" w:rsidRPr="00000000" w14:paraId="0000003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rPr>
          <w:rFonts w:ascii="Cambria" w:cs="Cambria" w:eastAsia="Cambria" w:hAnsi="Cambria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u w:val="single"/>
          <w:rtl w:val="0"/>
        </w:rPr>
        <w:t xml:space="preserve">Unidad 3.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u w:val="single"/>
          <w:rtl w:val="0"/>
        </w:rPr>
        <w:t xml:space="preserve"> Saberse afuera: ¿qué queda en los márgenes del loop institucional?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spacing w:line="276" w:lineRule="auto"/>
        <w:ind w:left="0" w:hanging="2"/>
        <w:rPr/>
      </w:pPr>
      <w:r w:rsidDel="00000000" w:rsidR="00000000" w:rsidRPr="00000000">
        <w:rPr>
          <w:rtl w:val="0"/>
        </w:rPr>
        <w:t xml:space="preserve">“No existe un afuera, nosotrxs somos las instituciones”: Andrea Fraser - Tácticas actuales de investigación e historiografía - Pensamiento crítico-institucional; cuerpo crítico-institucional; praxis crítico-institucional - Transformación en la actualidad del campo de acción de la crítica institucional: nuevos desafíos, nuevas conquistas -  Movimientos eco-conscientes y crítica institucional - Claire Pentecost, pensamiento y obras.  </w:t>
      </w:r>
    </w:p>
    <w:p w:rsidR="00000000" w:rsidDel="00000000" w:rsidP="00000000" w:rsidRDefault="00000000" w:rsidRPr="00000000" w14:paraId="00000033">
      <w:pPr>
        <w:spacing w:line="276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Lecturas obligatorias:</w:t>
      </w:r>
    </w:p>
    <w:p w:rsidR="00000000" w:rsidDel="00000000" w:rsidP="00000000" w:rsidRDefault="00000000" w:rsidRPr="00000000" w14:paraId="0000003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rPr/>
      </w:pPr>
      <w:r w:rsidDel="00000000" w:rsidR="00000000" w:rsidRPr="00000000">
        <w:rPr>
          <w:rtl w:val="0"/>
        </w:rPr>
        <w:t xml:space="preserve">Pentecost, Claire; “Cuando el arte deviene vida. Artistas investigadoras y biotecnologías” en Transversal.at. Traducción de Bani, revisada por Joaquín Barriendos y Marcelo Expósito</w:t>
      </w:r>
    </w:p>
    <w:p w:rsidR="00000000" w:rsidDel="00000000" w:rsidP="00000000" w:rsidRDefault="00000000" w:rsidRPr="00000000" w14:paraId="0000003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rPr/>
      </w:pPr>
      <w:r w:rsidDel="00000000" w:rsidR="00000000" w:rsidRPr="00000000">
        <w:rPr>
          <w:rtl w:val="0"/>
        </w:rPr>
        <w:t xml:space="preserve">Holmes, Brian; “Investigaciones extradisciplinares. Hacia una nueva crítica de las instituciones” en </w:t>
      </w:r>
      <w:r w:rsidDel="00000000" w:rsidR="00000000" w:rsidRPr="00000000">
        <w:rPr>
          <w:i w:val="1"/>
          <w:rtl w:val="0"/>
        </w:rPr>
        <w:t xml:space="preserve">transveral.at. </w:t>
      </w:r>
      <w:r w:rsidDel="00000000" w:rsidR="00000000" w:rsidRPr="00000000">
        <w:rPr>
          <w:rtl w:val="0"/>
        </w:rPr>
        <w:t xml:space="preserve">Traducción de Marcelo Expósito, revisada por Brian Holmes y Joaquín Barriendos</w:t>
      </w:r>
    </w:p>
    <w:p w:rsidR="00000000" w:rsidDel="00000000" w:rsidP="00000000" w:rsidRDefault="00000000" w:rsidRPr="00000000" w14:paraId="0000003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rPr/>
      </w:pPr>
      <w:r w:rsidDel="00000000" w:rsidR="00000000" w:rsidRPr="00000000">
        <w:rPr>
          <w:rtl w:val="0"/>
        </w:rPr>
        <w:t xml:space="preserve">Meyer, ​​James; “Whatever happened to Institutional Critique?”. Reimpreso en Peter Weibel (ed.), Kontext Kunst. Kunst der 90er Jahre, DuMont Buchverlag, Colonia, 1993.</w:t>
      </w:r>
    </w:p>
    <w:p w:rsidR="00000000" w:rsidDel="00000000" w:rsidP="00000000" w:rsidRDefault="00000000" w:rsidRPr="00000000" w14:paraId="0000003B">
      <w:pPr>
        <w:keepNext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Unidad 4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. Desertar: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¿líneas de fuga o intersticios de acceso?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0" w:hanging="2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  <w:t xml:space="preserve">Lo que empuja por fuera del cánon europeo-norteamericano, sus características específicas y no tanto - Instituciones, crítica y política en latinoamérica - La protesta, los movimientos en la calle, las organizaciones militantes y la crítica institucional -  Repensar el rol de las instituciones en territorio: actuales y locales. Reflexionar en cómo hacen efectivo el imperativo de exclusión que toda institución supone -  Mercado y fuera de él - Activismo político, performance disidente y la escritura como crítica institucional - Frontera incierta de Enrique Aguerre - Grupo Etcétera.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Lecturas obligatorias:</w:t>
      </w:r>
    </w:p>
    <w:p w:rsidR="00000000" w:rsidDel="00000000" w:rsidP="00000000" w:rsidRDefault="00000000" w:rsidRPr="00000000" w14:paraId="0000003F">
      <w:pPr>
        <w:numPr>
          <w:ilvl w:val="3"/>
          <w:numId w:val="2"/>
        </w:numPr>
        <w:ind w:left="0" w:hanging="2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Pal Pelbart, Peter; “Cómo vivir solos” en </w:t>
      </w:r>
      <w:r w:rsidDel="00000000" w:rsidR="00000000" w:rsidRPr="00000000">
        <w:rPr>
          <w:i w:val="1"/>
          <w:rtl w:val="0"/>
        </w:rPr>
        <w:t xml:space="preserve">Filosofía de la deserción. Nihilismo, locura y comunidad</w:t>
      </w:r>
      <w:r w:rsidDel="00000000" w:rsidR="00000000" w:rsidRPr="00000000">
        <w:rPr>
          <w:rtl w:val="0"/>
        </w:rPr>
        <w:t xml:space="preserve">. Buenos Aires, 2009, Tinta Limón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2"/>
        </w:num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2"/>
        </w:numPr>
        <w:ind w:left="0" w:hanging="2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Raunig, Gerald; “Prácticas instituyentes. Huir, instituir, transformar”, </w:t>
      </w:r>
      <w:r w:rsidDel="00000000" w:rsidR="00000000" w:rsidRPr="00000000">
        <w:rPr>
          <w:i w:val="1"/>
          <w:rtl w:val="0"/>
        </w:rPr>
        <w:t xml:space="preserve">Transversal: do you remember institutional critique?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  <w:t xml:space="preserve">Yéregui, Mariela; “Encrucijadas de las artes electrónicas en la aporía arte/investigación” en </w:t>
      </w:r>
      <w:r w:rsidDel="00000000" w:rsidR="00000000" w:rsidRPr="00000000">
        <w:rPr>
          <w:i w:val="1"/>
          <w:rtl w:val="0"/>
        </w:rPr>
        <w:t xml:space="preserve">Cuadernos del Centro de Estudios en Diseño y Comunicación Nº51</w:t>
      </w:r>
      <w:r w:rsidDel="00000000" w:rsidR="00000000" w:rsidRPr="00000000">
        <w:rPr>
          <w:rtl w:val="0"/>
        </w:rPr>
        <w:t xml:space="preserve">, Año XV, Marzo 2015, Buenos Aires.</w:t>
      </w:r>
    </w:p>
    <w:p w:rsidR="00000000" w:rsidDel="00000000" w:rsidP="00000000" w:rsidRDefault="00000000" w:rsidRPr="00000000" w14:paraId="00000044">
      <w:pPr>
        <w:keepNext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rPr>
          <w:rFonts w:ascii="Cambria" w:cs="Cambria" w:eastAsia="Cambria" w:hAnsi="Cambria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Bibliografía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rPr/>
      </w:pPr>
      <w:r w:rsidDel="00000000" w:rsidR="00000000" w:rsidRPr="00000000">
        <w:rPr>
          <w:rtl w:val="0"/>
        </w:rPr>
        <w:t xml:space="preserve">Adler, Jazmin, comp. </w:t>
      </w:r>
      <w:r w:rsidDel="00000000" w:rsidR="00000000" w:rsidRPr="00000000">
        <w:rPr>
          <w:i w:val="1"/>
          <w:rtl w:val="0"/>
        </w:rPr>
        <w:t xml:space="preserve">Desmantelando la máquina. Transgresiones desde el arte y la tecnología en Latinoamérica</w:t>
      </w:r>
      <w:r w:rsidDel="00000000" w:rsidR="00000000" w:rsidRPr="00000000">
        <w:rPr>
          <w:rtl w:val="0"/>
        </w:rPr>
        <w:t xml:space="preserve">, editorial Literatura Neural, Buenos Aires, 2021</w:t>
      </w:r>
    </w:p>
    <w:p w:rsidR="00000000" w:rsidDel="00000000" w:rsidP="00000000" w:rsidRDefault="00000000" w:rsidRPr="00000000" w14:paraId="0000004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rPr/>
      </w:pPr>
      <w:r w:rsidDel="00000000" w:rsidR="00000000" w:rsidRPr="00000000">
        <w:rPr>
          <w:rtl w:val="0"/>
        </w:rPr>
        <w:t xml:space="preserve">Broodthaers, Marcel; “To be bien pensant […] or not to be. To be blind” (1975), </w:t>
      </w:r>
      <w:r w:rsidDel="00000000" w:rsidR="00000000" w:rsidRPr="00000000">
        <w:rPr>
          <w:i w:val="1"/>
          <w:rtl w:val="0"/>
        </w:rPr>
        <w:t xml:space="preserve">October</w:t>
      </w:r>
      <w:r w:rsidDel="00000000" w:rsidR="00000000" w:rsidRPr="00000000">
        <w:rPr>
          <w:rtl w:val="0"/>
        </w:rPr>
        <w:t xml:space="preserve">, núm. 42, Marcel Broodthaers: Writings, Interviews, Photographs, invierno de 1987.</w:t>
      </w:r>
    </w:p>
    <w:p w:rsidR="00000000" w:rsidDel="00000000" w:rsidP="00000000" w:rsidRDefault="00000000" w:rsidRPr="00000000" w14:paraId="0000004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rPr/>
      </w:pPr>
      <w:r w:rsidDel="00000000" w:rsidR="00000000" w:rsidRPr="00000000">
        <w:rPr>
          <w:rtl w:val="0"/>
        </w:rPr>
        <w:t xml:space="preserve">Buchloh, Benjamin; “El arte conceptual de 1962 a 1969: de la estética de la administración a la crítica de las instituciones”, trad. de Carolina del Olmo y César Rendueles, en Formalismo e historicidad. Modelos y métodos en el arte del siglo XX, Madrid, Akal, 2004.</w:t>
      </w:r>
    </w:p>
    <w:p w:rsidR="00000000" w:rsidDel="00000000" w:rsidP="00000000" w:rsidRDefault="00000000" w:rsidRPr="00000000" w14:paraId="0000004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rPr/>
      </w:pPr>
      <w:r w:rsidDel="00000000" w:rsidR="00000000" w:rsidRPr="00000000">
        <w:rPr>
          <w:rtl w:val="0"/>
        </w:rPr>
        <w:t xml:space="preserve">Dickey, Christopher; “I Love My Glow Bunny”, Wired, nº 9/04, abril de 2004.</w:t>
      </w:r>
    </w:p>
    <w:p w:rsidR="00000000" w:rsidDel="00000000" w:rsidP="00000000" w:rsidRDefault="00000000" w:rsidRPr="00000000" w14:paraId="0000004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rPr/>
      </w:pPr>
      <w:r w:rsidDel="00000000" w:rsidR="00000000" w:rsidRPr="00000000">
        <w:rPr>
          <w:rtl w:val="0"/>
        </w:rPr>
        <w:t xml:space="preserve">Fraser, Andrea; “What do I, as an artist, provide?” en catálogo de la exposición homónima en Mildred Lane Kemper Art Museum, 2007</w:t>
      </w:r>
    </w:p>
    <w:p w:rsidR="00000000" w:rsidDel="00000000" w:rsidP="00000000" w:rsidRDefault="00000000" w:rsidRPr="00000000" w14:paraId="0000004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rPr/>
      </w:pPr>
      <w:r w:rsidDel="00000000" w:rsidR="00000000" w:rsidRPr="00000000">
        <w:rPr>
          <w:rtl w:val="0"/>
        </w:rPr>
        <w:t xml:space="preserve">Graw, Isabelle; “Jenseits der Institutionskritik”, en Texte zur Kunst, nº 59, septiembre de 2005</w:t>
      </w:r>
    </w:p>
    <w:p w:rsidR="00000000" w:rsidDel="00000000" w:rsidP="00000000" w:rsidRDefault="00000000" w:rsidRPr="00000000" w14:paraId="0000005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hanging="2"/>
        <w:rPr/>
      </w:pPr>
      <w:r w:rsidDel="00000000" w:rsidR="00000000" w:rsidRPr="00000000">
        <w:rPr>
          <w:rtl w:val="0"/>
        </w:rPr>
        <w:t xml:space="preserve">Steyerl, Hito; “En caída libre” en Los condenados de la pantalla, Buenos Aires, 2014, Caja Negra Editora. </w:t>
      </w:r>
    </w:p>
    <w:p w:rsidR="00000000" w:rsidDel="00000000" w:rsidP="00000000" w:rsidRDefault="00000000" w:rsidRPr="00000000" w14:paraId="0000005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Modalidad docente</w:t>
      </w:r>
    </w:p>
    <w:p w:rsidR="00000000" w:rsidDel="00000000" w:rsidP="00000000" w:rsidRDefault="00000000" w:rsidRPr="00000000" w14:paraId="0000005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Las clases se desarrollarán a distancia.</w:t>
      </w:r>
    </w:p>
    <w:p w:rsidR="00000000" w:rsidDel="00000000" w:rsidP="00000000" w:rsidRDefault="00000000" w:rsidRPr="00000000" w14:paraId="0000005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Se articularán instancias de encuentros sincrónicos con propuestas asincrónicas. </w:t>
      </w:r>
    </w:p>
    <w:p w:rsidR="00000000" w:rsidDel="00000000" w:rsidP="00000000" w:rsidRDefault="00000000" w:rsidRPr="00000000" w14:paraId="00000059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Formas de evaluación: </w:t>
      </w:r>
      <w:r w:rsidDel="00000000" w:rsidR="00000000" w:rsidRPr="00000000">
        <w:rPr>
          <w:rtl w:val="0"/>
        </w:rPr>
        <w:t xml:space="preserve">lecturas y participación activa en los debates en clase; aproximación de casos de artistas y autores que sumen a la conversación grupal; redacción de un breve ensayo en torno a un tema de interés personal y autoevaluación al final de la cursada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1" w:hanging="3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Requisitos para la aprobación del seminario: </w:t>
      </w:r>
      <w:r w:rsidDel="00000000" w:rsidR="00000000" w:rsidRPr="00000000">
        <w:rPr>
          <w:rtl w:val="0"/>
        </w:rPr>
        <w:t xml:space="preserve">Asistencia los encuentros sincrónicos (75 por ciento). Participación activa en las clases. Cumplimiento de las consignas de trabajo del seminario.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AR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26"/>
      <w:szCs w:val="26"/>
      <w:u w:val="singl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hanging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0" w:hanging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0" w:hanging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26"/>
      <w:szCs w:val="26"/>
      <w:u w:val="singl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hanging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0" w:hanging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0" w:hanging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Times New Roman"/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numPr>
        <w:numId w:val="1"/>
      </w:numPr>
      <w:spacing w:after="60" w:before="240"/>
      <w:ind w:left="-1" w:hanging="1"/>
      <w:jc w:val="center"/>
    </w:pPr>
    <w:rPr>
      <w:rFonts w:ascii="Cambria" w:cs="Cambria" w:hAnsi="Cambria"/>
      <w:b w:val="1"/>
      <w:bCs w:val="1"/>
      <w:kern w:val="2"/>
      <w:sz w:val="32"/>
      <w:szCs w:val="32"/>
    </w:rPr>
  </w:style>
  <w:style w:type="paragraph" w:styleId="Ttulo2">
    <w:name w:val="heading 2"/>
    <w:basedOn w:val="Normal"/>
    <w:next w:val="Normal"/>
    <w:pPr>
      <w:keepNext w:val="1"/>
      <w:numPr>
        <w:ilvl w:val="1"/>
        <w:numId w:val="1"/>
      </w:numPr>
      <w:spacing w:after="60" w:before="240"/>
      <w:ind w:left="-1" w:hanging="1"/>
      <w:outlineLvl w:val="1"/>
    </w:pPr>
    <w:rPr>
      <w:rFonts w:ascii="Cambria" w:cs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60" w:before="240"/>
      <w:ind w:left="-1" w:hanging="1"/>
      <w:outlineLvl w:val="2"/>
    </w:pPr>
    <w:rPr>
      <w:rFonts w:ascii="Cambria" w:cs="Cambria" w:hAnsi="Cambria"/>
      <w:b w:val="1"/>
      <w:bCs w:val="1"/>
      <w:sz w:val="26"/>
      <w:szCs w:val="26"/>
      <w:u w:val="single"/>
    </w:rPr>
  </w:style>
  <w:style w:type="paragraph" w:styleId="Ttulo4">
    <w:name w:val="heading 4"/>
    <w:basedOn w:val="Normal"/>
    <w:next w:val="Normal"/>
    <w:pPr>
      <w:keepNext w:val="1"/>
      <w:numPr>
        <w:ilvl w:val="3"/>
        <w:numId w:val="1"/>
      </w:numPr>
      <w:spacing w:after="60" w:before="240"/>
      <w:ind w:left="-1" w:hanging="1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after="60" w:before="240"/>
      <w:ind w:left="-1" w:hanging="1"/>
      <w:outlineLvl w:val="4"/>
    </w:pPr>
    <w:rPr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after="60" w:before="240"/>
      <w:ind w:left="-1" w:hanging="1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after="60" w:before="240"/>
      <w:ind w:left="-1" w:hanging="1"/>
      <w:outlineLvl w:val="6"/>
    </w:p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after="60" w:before="240"/>
      <w:ind w:left="-1" w:hanging="1"/>
      <w:outlineLvl w:val="7"/>
    </w:pPr>
    <w:rPr>
      <w:i w:val="1"/>
      <w:iCs w:val="1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after="60" w:before="240"/>
      <w:ind w:left="-1" w:hanging="1"/>
      <w:outlineLvl w:val="8"/>
    </w:pPr>
    <w:rPr>
      <w:rFonts w:ascii="Cambria" w:cs="Cambria" w:hAnsi="Cambria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uerpodetex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2" w:customStyle="1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1" w:customStyle="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Caracteresdenotaalpie" w:customStyle="1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styleId="Refdenotaalpie1" w:customStyle="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character" w:styleId="Caracteresdenotafinal" w:customStyle="1">
    <w:name w:val="Caracteres de nota final"/>
    <w:rPr>
      <w:w w:val="100"/>
      <w:position w:val="-1"/>
      <w:effect w:val="none"/>
      <w:vertAlign w:val="superscript"/>
      <w:cs w:val="0"/>
      <w:em w:val="none"/>
    </w:rPr>
  </w:style>
  <w:style w:type="character" w:styleId="WW-Caracteresdenotafinal" w:customStyle="1">
    <w:name w:val="WW-Caracteres de nota final"/>
    <w:rPr>
      <w:w w:val="100"/>
      <w:position w:val="-1"/>
      <w:effect w:val="none"/>
      <w:vertAlign w:val="baseline"/>
      <w:cs w:val="0"/>
      <w:em w:val="none"/>
    </w:rPr>
  </w:style>
  <w:style w:type="character" w:styleId="Vietas" w:customStyle="1">
    <w:name w:val="Viñeta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EnlacedeInternet" w:customStyle="1">
    <w:name w:val="Enlace de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cabezadoCar" w:customStyle="1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zh-CN" w:val="es-ES"/>
    </w:rPr>
  </w:style>
  <w:style w:type="character" w:styleId="PiedepginaCar" w:customStyle="1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zh-CN" w:val="es-ES"/>
    </w:rPr>
  </w:style>
  <w:style w:type="character" w:styleId="Ttulo1Car" w:customStyle="1">
    <w:name w:val="Título 1 Car"/>
    <w:rPr>
      <w:rFonts w:ascii="Cambria" w:cs="Cambria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Ttulo2Car" w:customStyle="1">
    <w:name w:val="Título 2 Car"/>
    <w:rPr>
      <w:rFonts w:ascii="Cambria" w:cs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3Car" w:customStyle="1">
    <w:name w:val="Título 3 Car"/>
    <w:rPr>
      <w:rFonts w:ascii="Cambria" w:cs="Cambria" w:eastAsia="Times New Roman" w:hAnsi="Cambria"/>
      <w:b w:val="1"/>
      <w:bCs w:val="1"/>
      <w:w w:val="100"/>
      <w:position w:val="-1"/>
      <w:sz w:val="26"/>
      <w:szCs w:val="26"/>
      <w:u w:val="single"/>
      <w:effect w:val="none"/>
      <w:vertAlign w:val="baseline"/>
      <w:cs w:val="0"/>
      <w:em w:val="none"/>
    </w:rPr>
  </w:style>
  <w:style w:type="character" w:styleId="Ttulo4Car" w:customStyle="1">
    <w:name w:val="Título 4 C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5Car" w:customStyle="1">
    <w:name w:val="Título 5 Car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tulo6Car" w:customStyle="1">
    <w:name w:val="Título 6 Car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tulo7Car" w:customStyle="1">
    <w:name w:val="Título 7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8Car" w:customStyle="1">
    <w:name w:val="Título 8 Car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9Car" w:customStyle="1">
    <w:name w:val="Título 9 Car"/>
    <w:rPr>
      <w:rFonts w:ascii="Cambria" w:cs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character" w:styleId="TtuloCar" w:customStyle="1">
    <w:name w:val="Título Car"/>
    <w:rPr>
      <w:rFonts w:ascii="Cambria" w:cs="Cambria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SubttuloCar" w:customStyle="1">
    <w:name w:val="Subtítulo Car"/>
    <w:rPr>
      <w:rFonts w:ascii="Cambria" w:cs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uydestacado" w:customStyle="1">
    <w:name w:val="Muy destacado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Destacado" w:customStyle="1">
    <w:name w:val="Destacado"/>
    <w:rPr>
      <w:rFonts w:ascii="Calibri" w:cs="Calibri" w:hAnsi="Calibri"/>
      <w:b w:val="1"/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CitaCar" w:customStyle="1">
    <w:name w:val="Cita Car"/>
    <w:rPr>
      <w:i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itadestacadaCar" w:customStyle="1">
    <w:name w:val="Cita destacada Car"/>
    <w:rPr>
      <w:b w:val="1"/>
      <w:i w:val="1"/>
      <w:w w:val="100"/>
      <w:position w:val="-1"/>
      <w:sz w:val="24"/>
      <w:effect w:val="none"/>
      <w:vertAlign w:val="baseline"/>
      <w:cs w:val="0"/>
      <w:em w:val="none"/>
    </w:rPr>
  </w:style>
  <w:style w:type="character" w:styleId="nfasissutil">
    <w:name w:val="Subtle Emphasis"/>
    <w:rPr>
      <w:i w:val="1"/>
      <w:color w:val="5a5a5a"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 w:val="1"/>
      <w:i w:val="1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Referenciasutil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Referenciaintensa">
    <w:name w:val="Intense Reference"/>
    <w:rPr>
      <w:b w:val="1"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Ttulodellibro">
    <w:name w:val="Book Title"/>
    <w:rPr>
      <w:rFonts w:ascii="Cambria" w:cs="Cambria" w:eastAsia="Times New Roman" w:hAnsi="Cambria"/>
      <w:b w:val="1"/>
      <w:i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Cuerpodetexto" w:customStyle="1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FreeSans"/>
    </w:rPr>
  </w:style>
  <w:style w:type="paragraph" w:styleId="Leyenda" w:customStyle="1">
    <w:name w:val="Leyenda"/>
    <w:basedOn w:val="Normal"/>
    <w:pPr>
      <w:suppressLineNumbers w:val="1"/>
      <w:spacing w:after="120" w:before="120"/>
    </w:pPr>
    <w:rPr>
      <w:rFonts w:cs="Ari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FreeSans"/>
    </w:rPr>
  </w:style>
  <w:style w:type="paragraph" w:styleId="Ttulo20" w:customStyle="1">
    <w:name w:val="Título2"/>
    <w:basedOn w:val="Normal"/>
    <w:next w:val="Normal"/>
    <w:pPr>
      <w:spacing w:after="60" w:before="240"/>
      <w:jc w:val="center"/>
    </w:pPr>
    <w:rPr>
      <w:rFonts w:ascii="Cambria" w:cs="Cambria" w:hAnsi="Cambria"/>
      <w:b w:val="1"/>
      <w:bCs w:val="1"/>
      <w:kern w:val="2"/>
      <w:sz w:val="32"/>
      <w:szCs w:val="32"/>
    </w:rPr>
  </w:style>
  <w:style w:type="paragraph" w:styleId="Epgrafe" w:customStyle="1">
    <w:name w:val="Epígrafe"/>
    <w:basedOn w:val="Normal"/>
    <w:pPr>
      <w:suppressLineNumbers w:val="1"/>
      <w:spacing w:after="120" w:before="120"/>
    </w:pPr>
    <w:rPr>
      <w:rFonts w:cs="FreeSans"/>
      <w:i w:val="1"/>
      <w:iCs w:val="1"/>
    </w:rPr>
  </w:style>
  <w:style w:type="paragraph" w:styleId="Ttulo10" w:customStyle="1">
    <w:name w:val="Título1"/>
    <w:basedOn w:val="Normal"/>
    <w:next w:val="Cuerpodetexto"/>
    <w:pPr>
      <w:keepNext w:val="1"/>
      <w:spacing w:after="120" w:before="240"/>
    </w:pPr>
    <w:rPr>
      <w:rFonts w:ascii="Liberation Sans" w:cs="FreeSans" w:eastAsia="DejaVu Sans" w:hAnsi="Liberation Sans"/>
      <w:sz w:val="28"/>
      <w:szCs w:val="28"/>
    </w:rPr>
  </w:style>
  <w:style w:type="paragraph" w:styleId="Descripcin">
    <w:name w:val="caption"/>
    <w:basedOn w:val="Normal"/>
    <w:pPr>
      <w:suppressLineNumbers w:val="1"/>
      <w:spacing w:after="120" w:before="120"/>
    </w:pPr>
    <w:rPr>
      <w:rFonts w:cs="FreeSans"/>
      <w:i w:val="1"/>
      <w:iCs w:val="1"/>
    </w:rPr>
  </w:style>
  <w:style w:type="paragraph" w:styleId="Encabezado1" w:customStyle="1">
    <w:name w:val="Encabezado1"/>
    <w:basedOn w:val="Normal"/>
    <w:next w:val="Cuerpodetexto"/>
    <w:pPr>
      <w:keepNext w:val="1"/>
      <w:spacing w:after="120" w:before="240"/>
    </w:pPr>
    <w:rPr>
      <w:rFonts w:ascii="Liberation Sans" w:cs="FreeSans" w:eastAsia="Droid Sans" w:hAnsi="Liberation Sans"/>
      <w:sz w:val="28"/>
      <w:szCs w:val="28"/>
    </w:rPr>
  </w:style>
  <w:style w:type="paragraph" w:styleId="Etiqueta" w:customStyle="1">
    <w:name w:val="Etiqueta"/>
    <w:basedOn w:val="Normal"/>
    <w:pPr>
      <w:suppressLineNumbers w:val="1"/>
      <w:spacing w:after="120" w:before="120"/>
    </w:pPr>
    <w:rPr>
      <w:rFonts w:cs="FreeSans"/>
      <w:i w:val="1"/>
      <w:iCs w:val="1"/>
    </w:rPr>
  </w:style>
  <w:style w:type="paragraph" w:styleId="NormalWeb">
    <w:name w:val="Normal (Web)"/>
    <w:basedOn w:val="Normal"/>
    <w:pPr>
      <w:spacing w:after="280" w:before="280"/>
    </w:pPr>
  </w:style>
  <w:style w:type="paragraph" w:styleId="Notaalpie" w:customStyle="1">
    <w:name w:val="Nota al pie"/>
    <w:basedOn w:val="Normal"/>
    <w:rPr>
      <w:sz w:val="20"/>
      <w:szCs w:val="20"/>
    </w:rPr>
  </w:style>
  <w:style w:type="paragraph" w:styleId="Cabeceraypie" w:customStyle="1">
    <w:name w:val="Cabecera y pie"/>
    <w:basedOn w:val="Normal"/>
    <w:pPr>
      <w:suppressLineNumbers w:val="1"/>
      <w:tabs>
        <w:tab w:val="center" w:pos="4819"/>
        <w:tab w:val="right" w:pos="9638"/>
      </w:tabs>
    </w:pPr>
  </w:style>
  <w:style w:type="paragraph" w:styleId="Cabecera" w:customStyle="1">
    <w:name w:val="Cabecera"/>
    <w:basedOn w:val="Normal"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pPr>
      <w:tabs>
        <w:tab w:val="center" w:pos="4513"/>
        <w:tab w:val="right" w:pos="9026"/>
      </w:tabs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inespaciado">
    <w:name w:val="No Spacing"/>
    <w:basedOn w:val="Normal"/>
    <w:rPr>
      <w:szCs w:val="32"/>
    </w:rPr>
  </w:style>
  <w:style w:type="paragraph" w:styleId="Prrafodelista">
    <w:name w:val="List Paragraph"/>
    <w:basedOn w:val="Normal"/>
    <w:pPr>
      <w:ind w:left="720" w:firstLine="0"/>
      <w:contextualSpacing w:val="1"/>
    </w:pPr>
  </w:style>
  <w:style w:type="paragraph" w:styleId="Cita">
    <w:name w:val="Quote"/>
    <w:basedOn w:val="Normal"/>
    <w:next w:val="Normal"/>
    <w:rPr>
      <w:i w:val="1"/>
    </w:rPr>
  </w:style>
  <w:style w:type="paragraph" w:styleId="Citadestacada">
    <w:name w:val="Intense Quote"/>
    <w:basedOn w:val="Normal"/>
    <w:next w:val="Normal"/>
    <w:pPr>
      <w:ind w:left="720" w:right="720" w:firstLine="0"/>
    </w:pPr>
    <w:rPr>
      <w:b w:val="1"/>
      <w:i w:val="1"/>
      <w:szCs w:val="22"/>
    </w:rPr>
  </w:style>
  <w:style w:type="paragraph" w:styleId="TtuloTDC">
    <w:name w:val="TOC Heading"/>
    <w:basedOn w:val="Ttulo1"/>
    <w:next w:val="Normal"/>
    <w:pPr>
      <w:numPr>
        <w:numId w:val="0"/>
      </w:numPr>
      <w:ind w:left="-1" w:leftChars="-1" w:hanging="1" w:hangingChars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/Blmx3fjnoQ590qm4G9XXhXp5A==">AMUW2mVm/kjJsNuL6xT43o7+LXQZ2jJuX4XJP3PqUZIIl4sGFTSyzUew72QxG1DZKxre41gZd8wvL3B+mK67qpWzaQrC7NmrA/Wz/g8ehM0AYxw9r39mFTGG5ldoab2oZzhjoQ3MtcTN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2018-06-08T17:18:00Z</dcterms:created>
  <dc:creator>.</dc:creator>
</cp:coreProperties>
</file>