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  <w:r>
        <w:rPr>
          <w:rFonts w:ascii="Times New Roman" w:eastAsia="Bitstream Vera Sans" w:hAnsi="Times New Roman" w:cs="Times New Roman"/>
          <w:noProof/>
          <w:kern w:val="1"/>
          <w:sz w:val="24"/>
          <w:szCs w:val="24"/>
          <w:lang w:val="es-ES" w:eastAsia="es-ES"/>
        </w:rPr>
        <w:drawing>
          <wp:inline distT="0" distB="0" distL="0" distR="0">
            <wp:extent cx="1609725" cy="15049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UNIVERSIDAD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DE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BUENOS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AIRES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center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FACULTAD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DE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FILOSOFIA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Y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LETRAS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DEPARTAMENTO: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SEMINARIO: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PROFESOR: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Alejandro </w:t>
      </w:r>
      <w:proofErr w:type="spellStart"/>
      <w:r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>Crotto</w:t>
      </w:r>
      <w:proofErr w:type="spellEnd"/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CUATRIMESTRE: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Segundo cuatrimestre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AÑO:</w:t>
      </w:r>
      <w:r w:rsidR="00052FE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2020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</w:pPr>
      <w:r w:rsidRPr="00CE7C29">
        <w:rPr>
          <w:rFonts w:ascii="Garamond" w:eastAsia="Batang" w:hAnsi="Garamond" w:cs="Times New Roman"/>
          <w:iCs/>
          <w:kern w:val="1"/>
          <w:sz w:val="26"/>
          <w:szCs w:val="26"/>
          <w:lang w:eastAsia="zh-CN"/>
        </w:rPr>
        <w:t>PROGRAMA</w:t>
      </w:r>
      <w:r w:rsidRPr="00CE7C29">
        <w:rPr>
          <w:rFonts w:ascii="Garamond" w:eastAsia="Times New Roman" w:hAnsi="Garamond" w:cs="Times New Roman"/>
          <w:iCs/>
          <w:kern w:val="1"/>
          <w:sz w:val="26"/>
          <w:szCs w:val="26"/>
          <w:lang w:eastAsia="zh-CN"/>
        </w:rPr>
        <w:t xml:space="preserve"> </w:t>
      </w:r>
      <w:r w:rsidRPr="00CE7C29">
        <w:rPr>
          <w:rFonts w:ascii="Garamond" w:eastAsia="Bitstream Vera Sans" w:hAnsi="Garamond" w:cs="Times New Roman"/>
          <w:iCs/>
          <w:kern w:val="1"/>
          <w:sz w:val="26"/>
          <w:szCs w:val="26"/>
          <w:lang w:eastAsia="zh-CN"/>
        </w:rPr>
        <w:t>Nº:</w:t>
      </w: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atang" w:hAnsi="Times New Roman" w:cs="Times New Roman"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Pr="00CE7C29" w:rsidRDefault="00CE7C29" w:rsidP="00CE7C2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zh-CN"/>
        </w:rPr>
      </w:pPr>
    </w:p>
    <w:p w:rsidR="00CE7C29" w:rsidRDefault="00CE7C2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E85306" w:rsidRPr="00E85306" w:rsidRDefault="00FE5E69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FE5E69">
        <w:rPr>
          <w:rFonts w:ascii="Garamond" w:hAnsi="Garamond"/>
          <w:b/>
          <w:smallCaps/>
          <w:noProof/>
          <w:color w:val="000000"/>
          <w:sz w:val="26"/>
          <w:szCs w:val="26"/>
          <w:lang w:eastAsia="es-A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45pt;margin-top:1.05pt;width:76.95pt;height:70.4pt;z-index:-251658752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52270513" r:id="rId6"/>
        </w:pict>
      </w:r>
      <w:r w:rsidR="00E85306" w:rsidRPr="00E85306">
        <w:rPr>
          <w:rFonts w:ascii="Garamond" w:hAnsi="Garamond"/>
          <w:sz w:val="26"/>
          <w:szCs w:val="26"/>
        </w:rPr>
        <w:t>UNIVERSIDAD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DE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BUENOS</w:t>
      </w:r>
      <w:r w:rsidR="00E85306" w:rsidRPr="00E85306">
        <w:rPr>
          <w:rFonts w:ascii="Garamond" w:eastAsia="Times New Roman" w:hAnsi="Garamond"/>
          <w:sz w:val="26"/>
          <w:szCs w:val="26"/>
        </w:rPr>
        <w:t xml:space="preserve"> </w:t>
      </w:r>
      <w:r w:rsidR="00E85306" w:rsidRPr="00E85306">
        <w:rPr>
          <w:rFonts w:ascii="Garamond" w:hAnsi="Garamond"/>
          <w:sz w:val="26"/>
          <w:szCs w:val="26"/>
        </w:rPr>
        <w:t>AIRES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FACULTAD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FILOSOFÍA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Y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LETRAS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DEPARTAMENTO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LETRAS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SEMINARIO: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PROFESOR:</w:t>
      </w:r>
      <w:r>
        <w:rPr>
          <w:rFonts w:ascii="Garamond" w:eastAsia="Times New Roman" w:hAnsi="Garamond"/>
          <w:sz w:val="26"/>
          <w:szCs w:val="26"/>
        </w:rPr>
        <w:t xml:space="preserve"> </w:t>
      </w:r>
      <w:r w:rsidR="000D15A1">
        <w:rPr>
          <w:rFonts w:ascii="Garamond" w:eastAsia="Times New Roman" w:hAnsi="Garamond"/>
          <w:sz w:val="26"/>
          <w:szCs w:val="26"/>
        </w:rPr>
        <w:t xml:space="preserve">Alejandro </w:t>
      </w:r>
      <w:proofErr w:type="spellStart"/>
      <w:r w:rsidR="000D15A1">
        <w:rPr>
          <w:rFonts w:ascii="Garamond" w:eastAsia="Times New Roman" w:hAnsi="Garamond"/>
          <w:sz w:val="26"/>
          <w:szCs w:val="26"/>
        </w:rPr>
        <w:t>Crotto</w:t>
      </w:r>
      <w:proofErr w:type="spellEnd"/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2º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CUATRIMESTRE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de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2018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Pr="00E85306" w:rsidRDefault="00E85306" w:rsidP="00E85306">
      <w:pPr>
        <w:spacing w:after="0" w:line="320" w:lineRule="atLeast"/>
        <w:jc w:val="both"/>
        <w:rPr>
          <w:rFonts w:ascii="Garamond" w:eastAsia="Times New Roman" w:hAnsi="Garamond"/>
          <w:sz w:val="26"/>
          <w:szCs w:val="26"/>
        </w:rPr>
      </w:pPr>
      <w:r w:rsidRPr="00E85306">
        <w:rPr>
          <w:rFonts w:ascii="Garamond" w:hAnsi="Garamond"/>
          <w:sz w:val="26"/>
          <w:szCs w:val="26"/>
        </w:rPr>
        <w:t>PROGRAMA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  <w:r w:rsidRPr="00E85306">
        <w:rPr>
          <w:rFonts w:ascii="Garamond" w:hAnsi="Garamond"/>
          <w:sz w:val="26"/>
          <w:szCs w:val="26"/>
        </w:rPr>
        <w:t>N°</w:t>
      </w:r>
      <w:r w:rsidRPr="00E85306">
        <w:rPr>
          <w:rFonts w:ascii="Garamond" w:eastAsia="Times New Roman" w:hAnsi="Garamond"/>
          <w:sz w:val="26"/>
          <w:szCs w:val="26"/>
        </w:rPr>
        <w:t xml:space="preserve"> </w:t>
      </w:r>
    </w:p>
    <w:p w:rsidR="00E85306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E85306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DE7D5A" w:rsidRDefault="00E85306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  <w:r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TRADUCCIÓN DE POESÍA EN LENGUA INGLESA</w:t>
      </w:r>
    </w:p>
    <w:p w:rsidR="001B29FB" w:rsidRPr="001B29FB" w:rsidRDefault="001B29FB" w:rsidP="00E85306">
      <w:pPr>
        <w:spacing w:after="0" w:line="320" w:lineRule="atLeast"/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A417E5" w:rsidRDefault="00A417E5" w:rsidP="001B29FB">
      <w:pPr>
        <w:spacing w:after="0" w:line="320" w:lineRule="atLeast"/>
        <w:jc w:val="right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1B29FB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Docente: Alejandro </w:t>
      </w:r>
      <w:proofErr w:type="spellStart"/>
      <w:r w:rsidRPr="001B29FB">
        <w:rPr>
          <w:rFonts w:ascii="Garamond" w:hAnsi="Garamond"/>
          <w:color w:val="000000"/>
          <w:sz w:val="26"/>
          <w:szCs w:val="26"/>
          <w:shd w:val="clear" w:color="auto" w:fill="FFFFFF"/>
        </w:rPr>
        <w:t>Crotto</w:t>
      </w:r>
      <w:proofErr w:type="spellEnd"/>
    </w:p>
    <w:p w:rsidR="001B29FB" w:rsidRPr="001B29FB" w:rsidRDefault="001B29FB" w:rsidP="001B29FB">
      <w:pPr>
        <w:spacing w:after="0" w:line="320" w:lineRule="atLeast"/>
        <w:jc w:val="righ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B29FB" w:rsidRPr="008B40D0" w:rsidRDefault="00DE7D5A" w:rsidP="001B29FB">
      <w:pPr>
        <w:tabs>
          <w:tab w:val="left" w:pos="2955"/>
        </w:tabs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Presentación.</w:t>
      </w:r>
    </w:p>
    <w:p w:rsidR="00026CFB" w:rsidRPr="008B40D0" w:rsidRDefault="001D538D" w:rsidP="001B29FB">
      <w:pPr>
        <w:tabs>
          <w:tab w:val="left" w:pos="2955"/>
        </w:tabs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ab/>
      </w:r>
    </w:p>
    <w:p w:rsidR="00026CFB" w:rsidRPr="008B40D0" w:rsidRDefault="004A11E0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Teniendo en cuenta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que 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 presente materia 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 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una materia optativa del tercer y último tramo 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del Plan de Estudios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se buscará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que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en ella </w:t>
      </w:r>
      <w:r w:rsidR="00D114D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los alumnos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articulen 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los elementos generales sobre traducción ya problematizados en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Tramo General</w:t>
      </w:r>
      <w:r w:rsidR="00A8636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con e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 universo específico de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traducción de poesía</w:t>
      </w:r>
      <w:r w:rsidR="004148A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en lengua inglesa</w:t>
      </w:r>
      <w:r w:rsidR="00D6332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primer paso será un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006734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recorrido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por las principales poéticas de la traducción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(haciendo especial hincapié en la cuestión de la intraducibilidad – traducibilidad de la poesía)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por la historia 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de poesía en lengua inglesa en la Argentina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donde la tradición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 traducción en lengua inglesa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 particularmente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variada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y apasionante. 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En ese recorrido se incluirá también 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análisis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las diferentes políticas culturales y editoriales de dicha tradición.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Tras el recorrido histórico, se analizará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el estado actual del debate sobre la traducción de poesía en lengua inglesa en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Argentina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debate que ha sido durante la última década 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tan encarnizado como fructífero</w:t>
      </w:r>
      <w:r w:rsidR="006432E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Desarrollado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ese marco, se introducirá a los alumnos en los elementos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específicamente</w:t>
      </w:r>
      <w:r w:rsidR="00A613B0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técnicos de la traducci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ón de poesía en lengua inglesa: e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 curso está orientado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sin olvidar la heterogeneidad de las carreras de grado de origen de los alumnos,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dotarlos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</w:t>
      </w:r>
      <w:r w:rsidR="00CB47E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recursos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procedimentales 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que aumenten su libertad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como traductores</w:t>
      </w:r>
      <w:r w:rsidR="00DE7D5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026CFB" w:rsidRPr="008B40D0" w:rsidRDefault="00026C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Objetivo</w:t>
      </w:r>
      <w:r w:rsidR="00DE7D5A"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.</w:t>
      </w:r>
    </w:p>
    <w:p w:rsidR="001B29FB" w:rsidRPr="008B40D0" w:rsidRDefault="001B29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026CFB" w:rsidRPr="008B40D0" w:rsidRDefault="00A417E5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ob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jetivo central de la materia es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dotar</w:t>
      </w:r>
      <w:r w:rsidR="0021314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 los alumnos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de las herramientas que les permitan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(i) reconocer, a partir de los aspectos generales ya problematizados en cursos anteriores, los desafíos particulares de la traducción de poesía en lengua inglesa, (</w:t>
      </w:r>
      <w:proofErr w:type="spellStart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ii</w:t>
      </w:r>
      <w:proofErr w:type="spellEnd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) ser conscientes de las diferentes respuestas que en el pasado y en la actualidad se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han propuesto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ante dichos desafíos,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(</w:t>
      </w:r>
      <w:proofErr w:type="spellStart"/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iii</w:t>
      </w:r>
      <w:proofErr w:type="spellEnd"/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) concebir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B17B4C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y ejecutar diferentes estrategias de traducción.  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E748E6" w:rsidRPr="008B40D0" w:rsidRDefault="00E748E6" w:rsidP="001B29FB">
      <w:pPr>
        <w:spacing w:after="0" w:line="320" w:lineRule="atLeast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Modalidad.</w:t>
      </w:r>
    </w:p>
    <w:p w:rsidR="001B29FB" w:rsidRPr="008B40D0" w:rsidRDefault="001B29FB" w:rsidP="001B29FB">
      <w:pPr>
        <w:spacing w:after="0" w:line="320" w:lineRule="atLeast"/>
        <w:jc w:val="both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E748E6" w:rsidRPr="008B40D0" w:rsidRDefault="009E0083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Reuniones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teórico-prácticas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con elementos del trabajo de taller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Además de la bibliografía, los alumnos contarán con un cuadernillo de trabajo que incluirá fundamentos de métrica, ejercicios y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una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nutrida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selección de 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poemas</w:t>
      </w:r>
      <w:r w:rsidR="00C5139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en lengua inglesa y traducciones modélicas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diferentes criterios.</w:t>
      </w:r>
      <w:r w:rsidR="00E748E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B85D7F" w:rsidRPr="008B40D0" w:rsidRDefault="00B85D7F" w:rsidP="001B29FB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C51396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Forma de evaluación.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C51396" w:rsidRPr="008B40D0" w:rsidRDefault="00C51396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8B40D0" w:rsidRDefault="009E008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Examen f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inal que consistirá en la presentación de una traducción de un poema en lengua inglesa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elegido entre una lista de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opciones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dadas por el docente 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y su fundamentación</w:t>
      </w:r>
      <w:r w:rsidR="00F2382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escrita</w:t>
      </w:r>
      <w:r w:rsidR="00B85D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B85D7F" w:rsidRPr="008B40D0" w:rsidRDefault="00B85D7F" w:rsidP="00B85D7F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 </w:t>
      </w:r>
    </w:p>
    <w:p w:rsidR="00C51396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Requisitos para la aprobación.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C51396" w:rsidRPr="008B40D0" w:rsidRDefault="00C51396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8B40D0" w:rsidRDefault="00B85D7F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Asist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encia del 75%. Aprobación del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examen final y nota de concepto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B85D7F" w:rsidRPr="008B40D0" w:rsidRDefault="00B85D7F" w:rsidP="00B85D7F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C51396" w:rsidRPr="008B40D0" w:rsidRDefault="00C51396" w:rsidP="00006734">
      <w:pPr>
        <w:jc w:val="center"/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</w:pPr>
    </w:p>
    <w:p w:rsidR="00026CFB" w:rsidRPr="008B40D0" w:rsidRDefault="00026CFB" w:rsidP="00006734">
      <w:pPr>
        <w:jc w:val="center"/>
        <w:rPr>
          <w:rFonts w:ascii="Garamond" w:hAnsi="Garamond"/>
          <w:smallCaps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Unidades temáticas</w:t>
      </w:r>
    </w:p>
    <w:p w:rsidR="001B29FB" w:rsidRPr="008B40D0" w:rsidRDefault="001B29FB" w:rsidP="001B29FB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</w:p>
    <w:p w:rsidR="001B29FB" w:rsidRPr="008B40D0" w:rsidRDefault="00A24373" w:rsidP="001B29FB">
      <w:pPr>
        <w:spacing w:after="0" w:line="320" w:lineRule="atLeast"/>
        <w:rPr>
          <w:rFonts w:ascii="Garamond" w:hAnsi="Garamond"/>
          <w:b/>
          <w:i/>
          <w:smallCaps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</w:rPr>
        <w:t>1.</w:t>
      </w:r>
      <w:r w:rsidRPr="008B40D0">
        <w:rPr>
          <w:rFonts w:ascii="Garamond" w:hAnsi="Garamond"/>
          <w:b/>
          <w:i/>
          <w:smallCaps/>
          <w:color w:val="000000"/>
          <w:sz w:val="26"/>
          <w:szCs w:val="26"/>
          <w:shd w:val="clear" w:color="auto" w:fill="FFFFFF"/>
        </w:rPr>
        <w:t xml:space="preserve"> </w:t>
      </w:r>
    </w:p>
    <w:p w:rsidR="004C747A" w:rsidRPr="008B40D0" w:rsidRDefault="004C747A" w:rsidP="001B29FB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</w:p>
    <w:p w:rsidR="00A24373" w:rsidRPr="008B40D0" w:rsidRDefault="001539AE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Introducción.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 xml:space="preserve">Definición y funciones del texto poético. Los subgéneros poéticos tradicionales: lírica, épica, narrativa.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Especificidades de la traducción de poesía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Estrategias. </w:t>
      </w:r>
      <w:r w:rsidR="00A2437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literal.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traducción libre. La traducción como recreación.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Traducción de poesía y mercado editorial.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>Edición de poesía traducida del inglés en Argentina.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9E00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Ediciones bilingües y ediciones anotadas.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La traducción de poesía en lengua inglesa en la Argentina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: historia, hitos, actualidad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9E0083" w:rsidRPr="008B40D0" w:rsidRDefault="009E008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355390" w:rsidRPr="008B40D0" w:rsidRDefault="005D39C2" w:rsidP="001B29FB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5D39C2" w:rsidRPr="008B40D0" w:rsidRDefault="005D39C2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A.A.V.V. El verso libre. Ediciones del Dock. Buenos Aires, 2010.</w:t>
      </w:r>
    </w:p>
    <w:p w:rsidR="005D39C2" w:rsidRPr="008B40D0" w:rsidRDefault="005D39C2" w:rsidP="005D39C2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Borges, Jorge Luis. “La supersticiosa ética del lector”, “Dos maneras de traducir”, “Las versiones homéricas”, “Los traductores de las 1001 noches”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Obras Completas –Edición Crítica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Buenos Aires, 2010.</w:t>
      </w:r>
    </w:p>
    <w:p w:rsidR="005D39C2" w:rsidRPr="008B40D0" w:rsidRDefault="005D39C2" w:rsidP="008B40D0">
      <w:pPr>
        <w:spacing w:after="0" w:line="320" w:lineRule="atLeast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Bekes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Alejandro. “Algo más sobre traducción y tradición poéticas”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Hablar de Poesía N° 20,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Alción, Córdoba, 2009.</w:t>
      </w:r>
    </w:p>
    <w:p w:rsidR="008B40D0" w:rsidRPr="008B40D0" w:rsidRDefault="008B40D0" w:rsidP="008B40D0">
      <w:pPr>
        <w:pStyle w:val="NormalWeb"/>
        <w:spacing w:before="0" w:beforeAutospacing="0" w:after="0" w:afterAutospacing="0" w:line="320" w:lineRule="atLeast"/>
        <w:ind w:left="709" w:hanging="709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lastRenderedPageBreak/>
        <w:t>Bonnefoy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Yves. “La comunidad de los traductores” (trad. Arturo Carrera),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Hablar de Poesía N° 4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Nuevo Hacer, Buenos Aires, 2000.</w:t>
      </w:r>
    </w:p>
    <w:p w:rsidR="004323C3" w:rsidRPr="008B40D0" w:rsidRDefault="004323C3" w:rsidP="008B40D0">
      <w:pPr>
        <w:pStyle w:val="NormalWeb"/>
        <w:spacing w:before="0" w:beforeAutospacing="0" w:after="0" w:afterAutospacing="0" w:line="320" w:lineRule="atLeast"/>
        <w:ind w:left="709" w:hanging="709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Santiago. “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>Micropolíticas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 de la edición y de la traducción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” en </w:t>
      </w:r>
      <w:r w:rsidR="008C3B14"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"/>
        </w:rPr>
        <w:t>Cuadernos Lírico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  <w:lang w:val="es-ES"/>
        </w:rPr>
        <w:t xml:space="preserve"> N° 13, 2015. </w:t>
      </w:r>
    </w:p>
    <w:p w:rsidR="004323C3" w:rsidRPr="008B40D0" w:rsidRDefault="004323C3" w:rsidP="008B40D0">
      <w:pPr>
        <w:pStyle w:val="NormalWeb"/>
        <w:shd w:val="clear" w:color="auto" w:fill="FFFFFF"/>
        <w:spacing w:before="0" w:beforeAutospacing="0" w:after="0" w:afterAutospacing="0" w:line="320" w:lineRule="atLeast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Santiago. “La invención de un catálogo. Políticas de traducción en editoriales recientes de Argentina” en </w:t>
      </w:r>
      <w:r w:rsidR="008C3B14" w:rsidRPr="008B40D0">
        <w:rPr>
          <w:rFonts w:ascii="Garamond" w:hAnsi="Garamond"/>
          <w:bCs/>
          <w:i/>
          <w:iCs/>
          <w:sz w:val="26"/>
          <w:szCs w:val="26"/>
          <w:shd w:val="clear" w:color="auto" w:fill="FFFFFF"/>
        </w:rPr>
        <w:t xml:space="preserve">Literatura 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Número 2</w:t>
      </w:r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(</w:t>
      </w:r>
      <w:proofErr w:type="spellStart"/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>Vol</w:t>
      </w:r>
      <w:proofErr w:type="spellEnd"/>
      <w:r w:rsidR="00F71002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19)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</w:t>
      </w:r>
      <w:r w:rsidR="008C3B14"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2017.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 </w:t>
      </w:r>
    </w:p>
    <w:p w:rsidR="00243FC0" w:rsidRPr="008B40D0" w:rsidRDefault="00243FC0" w:rsidP="004323C3">
      <w:pPr>
        <w:pStyle w:val="NormalWeb"/>
        <w:shd w:val="clear" w:color="auto" w:fill="FFFFFF"/>
        <w:spacing w:before="0" w:beforeAutospacing="0" w:after="0" w:afterAutospacing="0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Venturini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Santiago. “Una inversión común: notas sobre la traducción en editoriales literarias recientes de Argentina”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Lenguas Vivas N° 13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2017.</w:t>
      </w:r>
    </w:p>
    <w:p w:rsidR="008C3B14" w:rsidRPr="008B40D0" w:rsidRDefault="008C3B14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B29FB" w:rsidRPr="008B40D0" w:rsidRDefault="009968F8" w:rsidP="001B29FB">
      <w:pPr>
        <w:spacing w:after="0" w:line="320" w:lineRule="atLeast"/>
        <w:rPr>
          <w:rFonts w:ascii="Garamond" w:hAnsi="Garamond"/>
          <w:b/>
          <w:bCs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>2</w:t>
      </w:r>
      <w:r w:rsidRPr="008B40D0">
        <w:rPr>
          <w:rFonts w:ascii="Garamond" w:hAnsi="Garamond"/>
          <w:b/>
          <w:i/>
          <w:color w:val="000000"/>
          <w:sz w:val="26"/>
          <w:szCs w:val="26"/>
          <w:shd w:val="clear" w:color="auto" w:fill="FFFFFF"/>
        </w:rPr>
        <w:t xml:space="preserve">. </w:t>
      </w:r>
      <w:r w:rsidR="00C55DD2" w:rsidRPr="008B40D0">
        <w:rPr>
          <w:rFonts w:ascii="Garamond" w:hAnsi="Garamond"/>
          <w:b/>
          <w:bCs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4C747A" w:rsidRPr="008B40D0" w:rsidRDefault="004C747A" w:rsidP="001B29FB">
      <w:pPr>
        <w:spacing w:after="0" w:line="320" w:lineRule="atLeast"/>
        <w:rPr>
          <w:rFonts w:ascii="Garamond" w:hAnsi="Garamond"/>
          <w:b/>
          <w:bCs/>
          <w:i/>
          <w:smallCaps/>
          <w:color w:val="000000"/>
          <w:sz w:val="26"/>
          <w:szCs w:val="26"/>
          <w:shd w:val="clear" w:color="auto" w:fill="FFFFFF"/>
        </w:rPr>
      </w:pPr>
    </w:p>
    <w:p w:rsidR="00C9036D" w:rsidRPr="008B40D0" w:rsidRDefault="00424163" w:rsidP="00B85D7F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Aspectos formales de la traducción de poesía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Introducción. Sistemas formales: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griegos y latinos; p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oesía </w:t>
      </w:r>
      <w:r w:rsidR="00E8498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anglosajona; p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oesía en lenguas romances.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s-ES"/>
        </w:rPr>
        <w:t>Tradición poética en lengua inglesa.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Sistemas formales en lengua inglesa. 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sistema métrico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 El s</w:t>
      </w:r>
      <w:r w:rsidR="001B29FB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istema rítmico. 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verso libre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como categoría formal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r w:rsidR="00F71A68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Estrofas. 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Formas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supraversales</w:t>
      </w:r>
      <w:proofErr w:type="spell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El rol de las</w:t>
      </w:r>
      <w:r w:rsidR="000D15A1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f</w:t>
      </w:r>
      <w:r w:rsidR="00E85306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iguras retóricas.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La metáfora. La aliteración. 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</w:p>
    <w:p w:rsidR="005D2AD6" w:rsidRPr="008B40D0" w:rsidRDefault="005D2AD6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5D39C2" w:rsidRPr="008B40D0" w:rsidRDefault="005D39C2" w:rsidP="005D39C2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Beyers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Chris.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History of Free Verse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University of Arkansas Press, Fayetteville, 2001.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Domínguez Caparrós.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Diccionario de Métrica española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Alianza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Ediotrial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Madrid, 2007.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AE443F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Hass, Robert.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Little Book on Form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Harper Collins, New York, 2017.</w:t>
      </w:r>
      <w:proofErr w:type="gramEnd"/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Henríquez Ureña.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Estudios de versificación española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Universidad de Buenos Aires, Buenos Aires, 1961. </w:t>
      </w:r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Miles</w:t>
      </w:r>
      <w:r w:rsidR="008B40D0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Josephine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Eras &amp; modes in English poetry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University of California Press, 1964.</w:t>
      </w:r>
      <w:proofErr w:type="gramEnd"/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Michael D. Hurley &amp; Michael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O'neill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Cambridge introduction to poetic form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Cambridge University Press, 2012.</w:t>
      </w:r>
      <w:proofErr w:type="gramEnd"/>
    </w:p>
    <w:p w:rsidR="005D39C2" w:rsidRPr="008B40D0" w:rsidRDefault="005D39C2" w:rsidP="005D39C2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Navarro Tomás.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Arte del verso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Visor, Madrid, 2004. </w:t>
      </w:r>
    </w:p>
    <w:p w:rsidR="005D39C2" w:rsidRPr="008B40D0" w:rsidRDefault="005D39C2" w:rsidP="001B29FB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5D39C2" w:rsidRPr="008B40D0" w:rsidRDefault="009968F8" w:rsidP="005D39C2">
      <w:pPr>
        <w:spacing w:after="0" w:line="320" w:lineRule="atLeast"/>
        <w:rPr>
          <w:rFonts w:ascii="Garamond" w:hAnsi="Garamond"/>
          <w:b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b/>
          <w:color w:val="000000"/>
          <w:sz w:val="26"/>
          <w:szCs w:val="26"/>
          <w:shd w:val="clear" w:color="auto" w:fill="FFFFFF"/>
        </w:rPr>
        <w:t xml:space="preserve">3. </w:t>
      </w:r>
    </w:p>
    <w:p w:rsidR="004C747A" w:rsidRPr="008B40D0" w:rsidRDefault="004C747A" w:rsidP="005D39C2">
      <w:pPr>
        <w:spacing w:after="0" w:line="320" w:lineRule="atLeast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1539AE" w:rsidRPr="008B40D0" w:rsidRDefault="00F71A68" w:rsidP="005D39C2">
      <w:pPr>
        <w:spacing w:after="0" w:line="320" w:lineRule="atLeast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Práctica concreta</w:t>
      </w:r>
      <w:r w:rsidR="004323C3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de traducción de poesía.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Shakespeare</w:t>
      </w:r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proofErr w:type="spellStart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sonetos</w:t>
      </w:r>
      <w:proofErr w:type="spellEnd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)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Milton. Tennyson</w:t>
      </w:r>
      <w:r w:rsidR="005D39C2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Browning.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Poesía del nuevo mundo.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Bradstreet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Dickinson</w:t>
      </w:r>
      <w:proofErr w:type="spellEnd"/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La irrupción del verso libre. </w:t>
      </w:r>
      <w:r w:rsidR="00615C57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Bryant</w:t>
      </w:r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0217F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Whitman.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Auden. </w:t>
      </w:r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Lowell. </w:t>
      </w:r>
      <w:proofErr w:type="gramStart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Frost.</w:t>
      </w:r>
      <w:proofErr w:type="gramEnd"/>
      <w:r w:rsidR="00424163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Plath. </w:t>
      </w:r>
      <w:proofErr w:type="spellStart"/>
      <w:proofErr w:type="gramStart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Levertov</w:t>
      </w:r>
      <w:proofErr w:type="spell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Ashbery</w:t>
      </w:r>
      <w:proofErr w:type="spell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3F2B35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Contemporáneos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varios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="00C9036D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  </w:t>
      </w:r>
      <w:r w:rsidR="001539AE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026CFB" w:rsidRPr="008B40D0" w:rsidRDefault="00026CFB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4C747A" w:rsidRPr="008B40D0" w:rsidRDefault="004C747A" w:rsidP="004C747A">
      <w:pPr>
        <w:spacing w:after="0" w:line="320" w:lineRule="atLeast"/>
        <w:rPr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Bibliografía de la unidad.</w:t>
      </w:r>
    </w:p>
    <w:p w:rsidR="004C747A" w:rsidRPr="008B40D0" w:rsidRDefault="004C747A" w:rsidP="004376EE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4376EE" w:rsidRPr="008B40D0" w:rsidRDefault="004376EE" w:rsidP="004376EE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lastRenderedPageBreak/>
        <w:t>Gardner, Helen (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).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New Oxford Book of English Verse (1250-1950)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 Oxford University Press, Oxford, 1972.</w:t>
      </w:r>
    </w:p>
    <w:p w:rsidR="004376EE" w:rsidRPr="008B40D0" w:rsidRDefault="004376EE" w:rsidP="004376EE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Heaney, Seamus &amp; Hughes, Ted (Ed).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Rattle Bag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Faber and Faber,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Londres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1981.</w:t>
      </w:r>
    </w:p>
    <w:p w:rsidR="004376EE" w:rsidRPr="008B40D0" w:rsidRDefault="004376EE" w:rsidP="00006734">
      <w:pPr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</w:p>
    <w:p w:rsidR="00B85D7F" w:rsidRPr="008B40D0" w:rsidRDefault="00B85D7F" w:rsidP="00006734">
      <w:pPr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>Bibliografía</w:t>
      </w:r>
      <w:proofErr w:type="spellEnd"/>
      <w:r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C747A" w:rsidRPr="008B40D0">
        <w:rPr>
          <w:rFonts w:ascii="Garamond" w:hAnsi="Garamond"/>
          <w:b/>
          <w:smallCaps/>
          <w:color w:val="000000"/>
          <w:sz w:val="26"/>
          <w:szCs w:val="26"/>
          <w:shd w:val="clear" w:color="auto" w:fill="FFFFFF"/>
          <w:lang w:val="en-US"/>
        </w:rPr>
        <w:t>complementaria</w:t>
      </w:r>
      <w:proofErr w:type="spellEnd"/>
    </w:p>
    <w:p w:rsidR="001C0347" w:rsidRPr="008B40D0" w:rsidRDefault="001C0347" w:rsidP="001C0347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rPr>
          <w:rFonts w:ascii="Garamond" w:hAnsi="Garamond"/>
          <w:iCs/>
          <w:sz w:val="26"/>
          <w:szCs w:val="26"/>
          <w:shd w:val="clear" w:color="auto" w:fill="FFFFFF"/>
          <w:lang w:val="en-US"/>
        </w:rPr>
      </w:pPr>
    </w:p>
    <w:p w:rsidR="004C747A" w:rsidRPr="008B40D0" w:rsidRDefault="00B85D7F" w:rsidP="004C747A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Baker, Mona (ed.), “Translation Studies”, en </w:t>
      </w:r>
      <w:proofErr w:type="spellStart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>Routledge</w:t>
      </w:r>
      <w:proofErr w:type="spellEnd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>Encyclopedia</w:t>
      </w:r>
      <w:proofErr w:type="spellEnd"/>
      <w:r w:rsidRPr="008B40D0">
        <w:rPr>
          <w:rFonts w:ascii="Garamond" w:hAnsi="Garamond"/>
          <w:i/>
          <w:sz w:val="26"/>
          <w:szCs w:val="26"/>
          <w:shd w:val="clear" w:color="auto" w:fill="FFFFFF"/>
          <w:lang w:val="en-GB"/>
        </w:rPr>
        <w:t xml:space="preserve"> of Translation Studies</w:t>
      </w: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Routledge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="001C0347"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Londres</w:t>
      </w:r>
      <w:proofErr w:type="spellEnd"/>
      <w:r w:rsidR="001C0347"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 xml:space="preserve">, </w:t>
      </w:r>
      <w:r w:rsidRPr="008B40D0">
        <w:rPr>
          <w:rFonts w:ascii="Garamond" w:hAnsi="Garamond"/>
          <w:sz w:val="26"/>
          <w:szCs w:val="26"/>
          <w:shd w:val="clear" w:color="auto" w:fill="FFFFFF"/>
          <w:lang w:val="en-GB"/>
        </w:rPr>
        <w:t>1998.</w:t>
      </w:r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Bekes</w:t>
      </w:r>
      <w:proofErr w:type="spellEnd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Alejandro. Breviario filológico. </w:t>
      </w:r>
      <w:proofErr w:type="spellStart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Eduner</w:t>
      </w:r>
      <w:proofErr w:type="spellEnd"/>
      <w:r w:rsidR="004C747A"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Entre Ríos, 2005.</w:t>
      </w:r>
    </w:p>
    <w:p w:rsidR="008B40D0" w:rsidRPr="008B40D0" w:rsidRDefault="008B40D0" w:rsidP="008B40D0">
      <w:pPr>
        <w:spacing w:after="0" w:line="320" w:lineRule="atLeast"/>
        <w:jc w:val="both"/>
        <w:rPr>
          <w:rFonts w:ascii="Garamond" w:hAnsi="Garamond" w:cs="Times New Roman"/>
          <w:iCs/>
          <w:sz w:val="26"/>
          <w:szCs w:val="26"/>
        </w:rPr>
      </w:pPr>
      <w:proofErr w:type="spellStart"/>
      <w:r w:rsidRPr="008B40D0">
        <w:rPr>
          <w:rFonts w:ascii="Garamond" w:hAnsi="Garamond" w:cs="Times New Roman"/>
          <w:iCs/>
          <w:sz w:val="26"/>
          <w:szCs w:val="26"/>
        </w:rPr>
        <w:t>Bekes</w:t>
      </w:r>
      <w:proofErr w:type="spellEnd"/>
      <w:r w:rsidRPr="008B40D0">
        <w:rPr>
          <w:rFonts w:ascii="Garamond" w:hAnsi="Garamond" w:cs="Times New Roman"/>
          <w:iCs/>
          <w:sz w:val="26"/>
          <w:szCs w:val="26"/>
        </w:rPr>
        <w:t xml:space="preserve">, Alejandro. </w:t>
      </w:r>
      <w:r w:rsidRPr="008B40D0">
        <w:rPr>
          <w:rFonts w:ascii="Garamond" w:hAnsi="Garamond" w:cs="Times New Roman"/>
          <w:i/>
          <w:iCs/>
          <w:sz w:val="26"/>
          <w:szCs w:val="26"/>
        </w:rPr>
        <w:t>Breviario filológico</w:t>
      </w:r>
      <w:r w:rsidRPr="008B40D0">
        <w:rPr>
          <w:rFonts w:ascii="Garamond" w:hAnsi="Garamond" w:cs="Times New Roman"/>
          <w:iCs/>
          <w:sz w:val="26"/>
          <w:szCs w:val="26"/>
        </w:rPr>
        <w:t xml:space="preserve">. </w:t>
      </w:r>
      <w:proofErr w:type="spellStart"/>
      <w:r w:rsidRPr="008B40D0">
        <w:rPr>
          <w:rFonts w:ascii="Garamond" w:hAnsi="Garamond" w:cs="Times New Roman"/>
          <w:iCs/>
          <w:sz w:val="26"/>
          <w:szCs w:val="26"/>
        </w:rPr>
        <w:t>Eduner</w:t>
      </w:r>
      <w:proofErr w:type="spellEnd"/>
      <w:r w:rsidRPr="008B40D0">
        <w:rPr>
          <w:rFonts w:ascii="Garamond" w:hAnsi="Garamond" w:cs="Times New Roman"/>
          <w:iCs/>
          <w:sz w:val="26"/>
          <w:szCs w:val="26"/>
        </w:rPr>
        <w:t>. Entre Ríos, 2005.</w:t>
      </w:r>
    </w:p>
    <w:p w:rsidR="00B85D7F" w:rsidRPr="008B40D0" w:rsidRDefault="004C747A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bCs/>
          <w:iCs/>
          <w:sz w:val="26"/>
          <w:szCs w:val="26"/>
          <w:shd w:val="clear" w:color="auto" w:fill="FFFFFF"/>
        </w:rPr>
        <w:t>Berman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Antoine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.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La traducción y la letra o el </w:t>
      </w:r>
      <w:r w:rsidRPr="008B40D0">
        <w:rPr>
          <w:rFonts w:ascii="Garamond" w:hAnsi="Garamond"/>
          <w:bCs/>
          <w:i/>
          <w:iCs/>
          <w:sz w:val="26"/>
          <w:szCs w:val="26"/>
          <w:shd w:val="clear" w:color="auto" w:fill="FFFFFF"/>
        </w:rPr>
        <w:t>albergue de lo lejano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(Trad. 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Ignacio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Rodríguez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), 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Dedalus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, Buenos Aires, 2014.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Clive, Scott. </w:t>
      </w:r>
      <w:proofErr w:type="spellStart"/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Vers</w:t>
      </w:r>
      <w:proofErr w:type="spell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Libre</w:t>
      </w:r>
      <w:proofErr w:type="spell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 The Emergence of Free Verse in France: 1886-1914.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Clarendon, Oxford, 1990.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Hartman, Charles O.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 xml:space="preserve">Free Verse.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An Essay on Prosody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Northwestern University Press, Chicago, 1980.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Henríquez Ureña, Pedro. La versificación irregular en la poesía castellana. Revista de Filología Española, Madrid, 1920. </w:t>
      </w:r>
    </w:p>
    <w:p w:rsidR="00212A44" w:rsidRPr="008B40D0" w:rsidRDefault="00212A44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</w:rPr>
        <w:t>Herrera</w:t>
      </w:r>
      <w:r w:rsidR="003F2B35" w:rsidRPr="008B40D0">
        <w:rPr>
          <w:rFonts w:ascii="Garamond" w:hAnsi="Garamond"/>
          <w:sz w:val="26"/>
          <w:szCs w:val="26"/>
          <w:shd w:val="clear" w:color="auto" w:fill="FFFFFF"/>
        </w:rPr>
        <w:t>, Ricardo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.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Stabat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nuda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aestas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. Grupo Editor Latinoamericano, Buenos Aires, 1993.</w:t>
      </w:r>
    </w:p>
    <w:p w:rsidR="00E84983" w:rsidRDefault="00B85D7F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iCs/>
          <w:sz w:val="26"/>
          <w:szCs w:val="26"/>
          <w:shd w:val="clear" w:color="auto" w:fill="FFFFFF"/>
          <w:lang w:val="fr-FR"/>
        </w:rPr>
      </w:pP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 xml:space="preserve">Hurtado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>Albir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s-ES_tradnl"/>
        </w:rPr>
        <w:t xml:space="preserve">, Amparo, “Evolución de la reflexión sobre la traducción”, en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 xml:space="preserve">Traducción y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>traductología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s-ES_tradnl"/>
        </w:rPr>
        <w:t xml:space="preserve">.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Introducción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 xml:space="preserve"> a la </w:t>
      </w:r>
      <w:proofErr w:type="spellStart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traductología</w:t>
      </w:r>
      <w:proofErr w:type="spellEnd"/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.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="00E84983"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Cátedra</w:t>
      </w:r>
      <w:proofErr w:type="spellEnd"/>
      <w:r w:rsidR="00E84983"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, Madrid,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 xml:space="preserve"> 2004.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Fussell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Paul. </w:t>
      </w: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Poetic Meter and Poetic Form.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Random House, New York, 1966.</w:t>
      </w:r>
    </w:p>
    <w:p w:rsidR="008B40D0" w:rsidRPr="008B40D0" w:rsidRDefault="008B40D0" w:rsidP="008B40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Gasparov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M. L.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A History of European Versification,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Clarendon Press, Oxford, 1996.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0D15A1" w:rsidRPr="008B40D0" w:rsidRDefault="00E84983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Lefevere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, André y Susan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Bassnett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 (ed.),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en-US"/>
        </w:rPr>
        <w:t>Translation/History/Culture: A Sourcebook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Londres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 xml:space="preserve"> – Nueva York, </w:t>
      </w: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Routledge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en-US"/>
        </w:rPr>
        <w:t>, 1992.</w:t>
      </w:r>
      <w:r w:rsidR="000D15A1" w:rsidRPr="008B40D0">
        <w:rPr>
          <w:rFonts w:ascii="Garamond" w:hAnsi="Garamond"/>
          <w:sz w:val="26"/>
          <w:szCs w:val="26"/>
          <w:shd w:val="clear" w:color="auto" w:fill="FFFFFF"/>
          <w:lang w:val="en-US"/>
        </w:rPr>
        <w:t xml:space="preserve">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Levertov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, Denise. </w:t>
      </w: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“Notes on Organic Form” en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New and Selected Essays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New Directions, New York, 1992.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C51396" w:rsidRPr="008B40D0" w:rsidRDefault="00C51396" w:rsidP="00C51396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López Estrada, Francisco.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Métrica del siglo XX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. Gredos, Madrid, 1969.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Pagni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Andrea, “Hacia una historia de la traducción en América Latina”, en: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Revista Iberoamericana. América latina - España - Portugal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Editorial Iberoamericana /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Vervuert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, Frankfurt-Madrid Vol. 14, Núm. 56 (2014).</w:t>
      </w:r>
    </w:p>
    <w:p w:rsidR="00E84983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Panesi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Jorge, “La traducción en Argentina”,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Voces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, nº IV, agosto de 1994.</w:t>
      </w:r>
    </w:p>
    <w:p w:rsidR="004C747A" w:rsidRPr="008B40D0" w:rsidRDefault="004C747A" w:rsidP="004C747A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proofErr w:type="gram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Preminger, Alex &amp;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Borgan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, T.V.F. (Ed).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en-US"/>
        </w:rPr>
        <w:t>The New Princeton Encyclopedia of Poetry and Poetics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>.</w:t>
      </w:r>
      <w:proofErr w:type="gram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Princeton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UniversityPress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, New Jersey, 1993.</w:t>
      </w:r>
    </w:p>
    <w:p w:rsidR="000D15A1" w:rsidRPr="008B40D0" w:rsidRDefault="00F27E78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s-ES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lastRenderedPageBreak/>
        <w:t>Raggio</w:t>
      </w:r>
      <w:proofErr w:type="spellEnd"/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 xml:space="preserve">, Marcela. 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</w:rPr>
        <w:t>Poesía inglesa y poéticas de la traducción</w:t>
      </w:r>
      <w:r w:rsidRPr="008B40D0">
        <w:rPr>
          <w:rFonts w:ascii="Garamond" w:hAnsi="Garamond"/>
          <w:iCs/>
          <w:sz w:val="26"/>
          <w:szCs w:val="26"/>
          <w:shd w:val="clear" w:color="auto" w:fill="FFFFFF"/>
        </w:rPr>
        <w:t>, Del Copista, Córdoba, 2012.</w:t>
      </w:r>
      <w:r w:rsidR="000D15A1"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 xml:space="preserve"> 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  <w:lang w:val="es-ES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>Sorá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 xml:space="preserve">, Gustavo, “El libro y la edición en Argentina. Libros para todos y modelo hispanoamericano”, en: 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es-ES"/>
        </w:rPr>
        <w:t>Políticas de la Memoria</w:t>
      </w:r>
      <w:r w:rsidRPr="008B40D0">
        <w:rPr>
          <w:rFonts w:ascii="Garamond" w:hAnsi="Garamond"/>
          <w:sz w:val="26"/>
          <w:szCs w:val="26"/>
          <w:shd w:val="clear" w:color="auto" w:fill="FFFFFF"/>
          <w:lang w:val="es-ES"/>
        </w:rPr>
        <w:t>, Buenos Aires, 2011.</w:t>
      </w:r>
    </w:p>
    <w:p w:rsidR="00F27E78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Sorá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Gustavo, “Introducción”,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Traducir el Brasil. Una antropología de la circulación internacional de las ideas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. Buenos Aires, Zorzal, 2003.</w:t>
      </w:r>
    </w:p>
    <w:p w:rsidR="00E84983" w:rsidRPr="008B40D0" w:rsidRDefault="00B85D7F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Vega, Miguel Ángel,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 xml:space="preserve">Textos clásicos de teoría de la traducción, 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Cátedra, Madrid, 1993.</w:t>
      </w:r>
    </w:p>
    <w:p w:rsidR="00E84983" w:rsidRPr="008B40D0" w:rsidRDefault="00E84983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iCs/>
          <w:sz w:val="26"/>
          <w:szCs w:val="26"/>
          <w:shd w:val="clear" w:color="auto" w:fill="FFFFFF"/>
          <w:lang w:val="fr-FR"/>
        </w:rPr>
        <w:t>Zuber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 xml:space="preserve">, Roger,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fr-FR"/>
        </w:rPr>
        <w:t xml:space="preserve">Les </w:t>
      </w:r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“</w:t>
      </w:r>
      <w:r w:rsidRPr="008B40D0">
        <w:rPr>
          <w:rFonts w:ascii="Garamond" w:hAnsi="Garamond"/>
          <w:i/>
          <w:iCs/>
          <w:sz w:val="26"/>
          <w:szCs w:val="26"/>
          <w:shd w:val="clear" w:color="auto" w:fill="FFFFFF"/>
          <w:lang w:val="fr-FR"/>
        </w:rPr>
        <w:t>Belles Infidèles”</w:t>
      </w:r>
      <w:r w:rsidRPr="008B40D0">
        <w:rPr>
          <w:rFonts w:ascii="Garamond" w:hAnsi="Garamond"/>
          <w:i/>
          <w:sz w:val="26"/>
          <w:szCs w:val="26"/>
          <w:shd w:val="clear" w:color="auto" w:fill="FFFFFF"/>
          <w:lang w:val="fr-FR"/>
        </w:rPr>
        <w:t xml:space="preserve"> et la formation du goût classique</w:t>
      </w:r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 xml:space="preserve">, Armand Colin,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París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  <w:lang w:val="fr-FR"/>
        </w:rPr>
        <w:t>, 1968.</w:t>
      </w:r>
    </w:p>
    <w:p w:rsidR="000D15A1" w:rsidRPr="008B40D0" w:rsidRDefault="000D15A1" w:rsidP="00CE7C29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“Traductores en el siglo”, en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Punto de Vista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>, nº 87, 2007.</w:t>
      </w:r>
    </w:p>
    <w:p w:rsidR="000D15A1" w:rsidRPr="008B40D0" w:rsidRDefault="000D15A1" w:rsidP="00D51BD0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“La traducción fin de siglo: un proyecto nacional”, en Alfredo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Rubione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(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dir.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),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Historia crítica de la literatura argentina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5, Buenos Aires,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>, 2006.</w:t>
      </w:r>
    </w:p>
    <w:p w:rsidR="000D15A1" w:rsidRPr="008B40D0" w:rsidRDefault="000D15A1" w:rsidP="00D51BD0">
      <w:pPr>
        <w:pStyle w:val="NormalWeb"/>
        <w:shd w:val="clear" w:color="auto" w:fill="FFFFFF"/>
        <w:spacing w:before="0" w:beforeAutospacing="0" w:after="0" w:afterAutospacing="0" w:line="288" w:lineRule="auto"/>
        <w:ind w:left="709" w:hanging="709"/>
        <w:jc w:val="both"/>
        <w:rPr>
          <w:rFonts w:ascii="Garamond" w:hAnsi="Garamond"/>
          <w:sz w:val="26"/>
          <w:szCs w:val="26"/>
          <w:shd w:val="clear" w:color="auto" w:fill="FFFFFF"/>
        </w:rPr>
      </w:pP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Willson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Patricia, “Página impar: el lugar del traductor en el auge de la industria editorial”, en Sylvia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Saitta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 (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dir.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), </w:t>
      </w:r>
      <w:r w:rsidRPr="008B40D0">
        <w:rPr>
          <w:rFonts w:ascii="Garamond" w:hAnsi="Garamond"/>
          <w:i/>
          <w:sz w:val="26"/>
          <w:szCs w:val="26"/>
          <w:shd w:val="clear" w:color="auto" w:fill="FFFFFF"/>
        </w:rPr>
        <w:t>Historia crítica de la literatura argentina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9, Buenos Aires, </w:t>
      </w:r>
      <w:proofErr w:type="spellStart"/>
      <w:r w:rsidRPr="008B40D0">
        <w:rPr>
          <w:rFonts w:ascii="Garamond" w:hAnsi="Garamond"/>
          <w:sz w:val="26"/>
          <w:szCs w:val="26"/>
          <w:shd w:val="clear" w:color="auto" w:fill="FFFFFF"/>
        </w:rPr>
        <w:t>Emecé</w:t>
      </w:r>
      <w:proofErr w:type="spellEnd"/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, </w:t>
      </w:r>
      <w:r w:rsidR="00CE7C29" w:rsidRPr="008B40D0">
        <w:rPr>
          <w:rFonts w:ascii="Garamond" w:hAnsi="Garamond"/>
          <w:sz w:val="26"/>
          <w:szCs w:val="26"/>
          <w:shd w:val="clear" w:color="auto" w:fill="FFFFFF"/>
        </w:rPr>
        <w:t>2004</w:t>
      </w:r>
      <w:r w:rsidRPr="008B40D0">
        <w:rPr>
          <w:rFonts w:ascii="Garamond" w:hAnsi="Garamond"/>
          <w:sz w:val="26"/>
          <w:szCs w:val="26"/>
          <w:shd w:val="clear" w:color="auto" w:fill="FFFFFF"/>
        </w:rPr>
        <w:t xml:space="preserve">. </w:t>
      </w:r>
    </w:p>
    <w:p w:rsidR="00F27E78" w:rsidRPr="008B40D0" w:rsidRDefault="00F27E78" w:rsidP="00D51BD0">
      <w:pPr>
        <w:spacing w:after="0" w:line="288" w:lineRule="auto"/>
        <w:ind w:left="709" w:hanging="709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Utrera </w:t>
      </w:r>
      <w:proofErr w:type="spellStart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>Torremocha</w:t>
      </w:r>
      <w:proofErr w:type="spellEnd"/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María Victoria. </w:t>
      </w:r>
      <w:r w:rsidRPr="008B40D0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Estructura y teoría del verso libre</w:t>
      </w:r>
      <w:r w:rsidRPr="008B40D0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, Consejo Superior de Investigaciones Científicas, 2010. </w:t>
      </w:r>
    </w:p>
    <w:p w:rsidR="00F27E78" w:rsidRPr="00F27E78" w:rsidRDefault="00F27E78" w:rsidP="00B85D7F">
      <w:pPr>
        <w:spacing w:after="0" w:line="288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B85D7F" w:rsidRPr="00ED7E99" w:rsidRDefault="00B85D7F" w:rsidP="00B85D7F">
      <w:pPr>
        <w:spacing w:after="0" w:line="288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</w:p>
    <w:p w:rsidR="00A417E5" w:rsidRPr="00ED7E99" w:rsidRDefault="00C229E6" w:rsidP="00B85D7F">
      <w:pPr>
        <w:spacing w:after="0" w:line="288" w:lineRule="auto"/>
        <w:rPr>
          <w:rFonts w:ascii="Calibri" w:hAnsi="Calibri"/>
          <w:color w:val="000000"/>
          <w:shd w:val="clear" w:color="auto" w:fill="FFFFFF"/>
        </w:rPr>
      </w:pPr>
      <w:r w:rsidRPr="00ED7E99">
        <w:rPr>
          <w:rFonts w:ascii="Calibri" w:hAnsi="Calibri"/>
          <w:color w:val="000000"/>
          <w:shd w:val="clear" w:color="auto" w:fill="FFFFFF"/>
        </w:rPr>
        <w:t xml:space="preserve">  </w:t>
      </w:r>
    </w:p>
    <w:p w:rsidR="00A417E5" w:rsidRDefault="00340D28">
      <w:r w:rsidRPr="00340D28">
        <w:drawing>
          <wp:inline distT="0" distB="0" distL="0" distR="0">
            <wp:extent cx="561975" cy="566057"/>
            <wp:effectExtent l="19050" t="0" r="9525" b="0"/>
            <wp:docPr id="1" name="Imagen 1" descr="C:\Users\Guadalupe\Downloads\Firm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\Downloads\Firma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Guadalupe </w:t>
      </w:r>
      <w:proofErr w:type="spellStart"/>
      <w:r>
        <w:t>Marando</w:t>
      </w:r>
      <w:proofErr w:type="spellEnd"/>
    </w:p>
    <w:p w:rsidR="00340D28" w:rsidRPr="00ED7E99" w:rsidRDefault="00340D28">
      <w:r>
        <w:t xml:space="preserve">                  Secretaria académica</w:t>
      </w:r>
    </w:p>
    <w:sectPr w:rsidR="00340D28" w:rsidRPr="00ED7E99" w:rsidSect="00EF7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7E5"/>
    <w:rsid w:val="00006734"/>
    <w:rsid w:val="00026CFB"/>
    <w:rsid w:val="00052FE9"/>
    <w:rsid w:val="000C01A4"/>
    <w:rsid w:val="000D15A1"/>
    <w:rsid w:val="001539AE"/>
    <w:rsid w:val="00170C2C"/>
    <w:rsid w:val="001B29FB"/>
    <w:rsid w:val="001C0347"/>
    <w:rsid w:val="001D538D"/>
    <w:rsid w:val="00206D8B"/>
    <w:rsid w:val="002107F3"/>
    <w:rsid w:val="00212A44"/>
    <w:rsid w:val="0021314E"/>
    <w:rsid w:val="00243FC0"/>
    <w:rsid w:val="0027077F"/>
    <w:rsid w:val="002B5B0B"/>
    <w:rsid w:val="0030256E"/>
    <w:rsid w:val="00340D28"/>
    <w:rsid w:val="00355390"/>
    <w:rsid w:val="003A370B"/>
    <w:rsid w:val="003B3CF1"/>
    <w:rsid w:val="003E56B5"/>
    <w:rsid w:val="003F1663"/>
    <w:rsid w:val="003F2B35"/>
    <w:rsid w:val="0040217F"/>
    <w:rsid w:val="004148A0"/>
    <w:rsid w:val="004213E7"/>
    <w:rsid w:val="00424163"/>
    <w:rsid w:val="004323C3"/>
    <w:rsid w:val="004376EE"/>
    <w:rsid w:val="004A11E0"/>
    <w:rsid w:val="004C747A"/>
    <w:rsid w:val="005637EA"/>
    <w:rsid w:val="00574625"/>
    <w:rsid w:val="00581001"/>
    <w:rsid w:val="005D2AD6"/>
    <w:rsid w:val="005D39C2"/>
    <w:rsid w:val="00615C57"/>
    <w:rsid w:val="006432EA"/>
    <w:rsid w:val="00666F2C"/>
    <w:rsid w:val="00673583"/>
    <w:rsid w:val="00797B89"/>
    <w:rsid w:val="00840D53"/>
    <w:rsid w:val="008B40D0"/>
    <w:rsid w:val="008C3B14"/>
    <w:rsid w:val="008F3428"/>
    <w:rsid w:val="009968F8"/>
    <w:rsid w:val="009E0083"/>
    <w:rsid w:val="00A24373"/>
    <w:rsid w:val="00A417E5"/>
    <w:rsid w:val="00A4332A"/>
    <w:rsid w:val="00A613B0"/>
    <w:rsid w:val="00A86367"/>
    <w:rsid w:val="00AD535A"/>
    <w:rsid w:val="00AE443F"/>
    <w:rsid w:val="00AF189D"/>
    <w:rsid w:val="00B17B4C"/>
    <w:rsid w:val="00B64896"/>
    <w:rsid w:val="00B85D7F"/>
    <w:rsid w:val="00BD459D"/>
    <w:rsid w:val="00C01567"/>
    <w:rsid w:val="00C229E6"/>
    <w:rsid w:val="00C51396"/>
    <w:rsid w:val="00C55DD2"/>
    <w:rsid w:val="00C9036D"/>
    <w:rsid w:val="00CB47E5"/>
    <w:rsid w:val="00CD6DD2"/>
    <w:rsid w:val="00CE7C29"/>
    <w:rsid w:val="00D114D7"/>
    <w:rsid w:val="00D13447"/>
    <w:rsid w:val="00D243E8"/>
    <w:rsid w:val="00D33A2F"/>
    <w:rsid w:val="00D51BD0"/>
    <w:rsid w:val="00D63326"/>
    <w:rsid w:val="00DC7ABC"/>
    <w:rsid w:val="00DE0924"/>
    <w:rsid w:val="00DE7D5A"/>
    <w:rsid w:val="00E17054"/>
    <w:rsid w:val="00E32860"/>
    <w:rsid w:val="00E748E6"/>
    <w:rsid w:val="00E84983"/>
    <w:rsid w:val="00E85306"/>
    <w:rsid w:val="00E951C6"/>
    <w:rsid w:val="00ED7E99"/>
    <w:rsid w:val="00EF7191"/>
    <w:rsid w:val="00F2382D"/>
    <w:rsid w:val="00F27E78"/>
    <w:rsid w:val="00F327D8"/>
    <w:rsid w:val="00F505BC"/>
    <w:rsid w:val="00F71002"/>
    <w:rsid w:val="00F71A68"/>
    <w:rsid w:val="00FD0F57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91"/>
  </w:style>
  <w:style w:type="paragraph" w:styleId="Ttulo1">
    <w:name w:val="heading 1"/>
    <w:basedOn w:val="Normal"/>
    <w:next w:val="Normal"/>
    <w:link w:val="Ttulo1Car"/>
    <w:uiPriority w:val="9"/>
    <w:qFormat/>
    <w:rsid w:val="0043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3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7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single" w:sz="6" w:space="0" w:color="CBCBCB"/>
          </w:divBdr>
          <w:divsChild>
            <w:div w:id="848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Guadalupe</cp:lastModifiedBy>
  <cp:revision>5</cp:revision>
  <dcterms:created xsi:type="dcterms:W3CDTF">2018-03-29T13:38:00Z</dcterms:created>
  <dcterms:modified xsi:type="dcterms:W3CDTF">2020-05-29T18:16:00Z</dcterms:modified>
</cp:coreProperties>
</file>