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C2" w:rsidRDefault="003420A0">
      <w:pPr>
        <w:spacing w:after="120" w:line="240" w:lineRule="auto"/>
        <w:jc w:val="center"/>
        <w:rPr>
          <w:rFonts w:ascii="Arial" w:hAnsi="Arial"/>
          <w:sz w:val="26"/>
          <w:szCs w:val="26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Carrera de Especialización</w:t>
      </w:r>
    </w:p>
    <w:p w:rsidR="00734DC2" w:rsidRDefault="003420A0">
      <w:pPr>
        <w:spacing w:after="120" w:line="240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Pedagogías para la igualdad en contextos socioeducativos diversos</w:t>
      </w:r>
    </w:p>
    <w:p w:rsidR="00734DC2" w:rsidRDefault="00734DC2">
      <w:pPr>
        <w:spacing w:after="120" w:line="240" w:lineRule="auto"/>
        <w:jc w:val="center"/>
        <w:rPr>
          <w:rFonts w:eastAsia="Times New Roman" w:cs="Times New Roman"/>
          <w:b/>
          <w:bCs/>
          <w:color w:val="000000"/>
        </w:rPr>
      </w:pPr>
    </w:p>
    <w:p w:rsidR="00734DC2" w:rsidRDefault="003420A0">
      <w:pPr>
        <w:spacing w:after="12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Seminario Taller: Diseño y evaluación de Proyectos</w:t>
      </w:r>
    </w:p>
    <w:p w:rsidR="00734DC2" w:rsidRDefault="00734DC2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4DC2" w:rsidRDefault="003420A0">
      <w:pPr>
        <w:spacing w:after="120" w:line="24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Prof. a cargo: Fernanda Juarros y Gabriela Kantarovich </w:t>
      </w:r>
    </w:p>
    <w:p w:rsidR="00734DC2" w:rsidRDefault="003420A0">
      <w:pPr>
        <w:spacing w:after="120" w:line="240" w:lineRule="auto"/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Curso lectivo 2020</w:t>
      </w:r>
    </w:p>
    <w:p w:rsidR="00734DC2" w:rsidRDefault="00734DC2">
      <w:pPr>
        <w:spacing w:after="24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4DC2" w:rsidRDefault="003420A0">
      <w:pPr>
        <w:numPr>
          <w:ilvl w:val="0"/>
          <w:numId w:val="1"/>
        </w:numPr>
        <w:spacing w:after="12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Fundamentación</w:t>
      </w:r>
    </w:p>
    <w:p w:rsidR="00734DC2" w:rsidRDefault="003420A0">
      <w:pPr>
        <w:spacing w:after="120" w:line="290" w:lineRule="auto"/>
        <w:jc w:val="both"/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La propuesta académica de la Carrera de Especialización en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Pedagogías para la igualdad en contextos socioeducativos diversos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incluye un seminario taller de “Diseño y evaluación de proyectos”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orientado a la formulación de políticas, programas y proyectos en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instituciones y organizaciones educativas, sociales y comunitarias. Este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constituye un aporte central a la formación de los futuros especialistas cuyo perfil está focalizado en el campo de intervención. </w:t>
      </w:r>
    </w:p>
    <w:p w:rsidR="00734DC2" w:rsidRDefault="003420A0">
      <w:pPr>
        <w:spacing w:after="120" w:line="290" w:lineRule="auto"/>
        <w:jc w:val="both"/>
      </w:pPr>
      <w:r>
        <w:rPr>
          <w:rFonts w:ascii="Arial" w:eastAsia="Times New Roman" w:hAnsi="Arial" w:cs="Times New Roman"/>
          <w:color w:val="000000"/>
          <w:sz w:val="24"/>
          <w:szCs w:val="24"/>
        </w:rPr>
        <w:t>El seminario presenta tres unidades temáticas que p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retenden: i- contextualizar el abordaje de trabajo por proyectos en el marco de la planificación, ii- analizar el diseño  de proyectos tanto desde la perspectiva tecnocrática como herramientas de gestión a corto plazo y a demanda, como desde las concepcion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es críticas, iii- abordar diferentes enfoques del diseño y evaluación de proyectos y sus componentes: la construcción de problemas y sus ámbitos de intervención, la definición de propósitos y líneas de acción, la determinación de recursos, y las concepcion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es, criterios e instrumentos de evaluación de los mismos.</w:t>
      </w:r>
    </w:p>
    <w:p w:rsidR="00734DC2" w:rsidRDefault="00734DC2">
      <w:pPr>
        <w:spacing w:after="120" w:line="290" w:lineRule="auto"/>
        <w:jc w:val="both"/>
        <w:rPr>
          <w:rFonts w:eastAsia="Times New Roman" w:cs="Times New Roman"/>
          <w:color w:val="000000"/>
        </w:rPr>
      </w:pPr>
    </w:p>
    <w:p w:rsidR="00734DC2" w:rsidRDefault="003420A0">
      <w:pPr>
        <w:numPr>
          <w:ilvl w:val="0"/>
          <w:numId w:val="2"/>
        </w:numPr>
        <w:spacing w:after="120" w:line="240" w:lineRule="auto"/>
        <w:jc w:val="both"/>
        <w:textAlignment w:val="baseline"/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Objetivos:</w:t>
      </w:r>
    </w:p>
    <w:p w:rsidR="00734DC2" w:rsidRDefault="003420A0">
      <w:pPr>
        <w:spacing w:after="0" w:line="240" w:lineRule="auto"/>
        <w:jc w:val="both"/>
        <w:textAlignment w:val="baseline"/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Examinar el abordaje de trabajo por proyectos en el marco de la planificación y su contexto de surgimiento. </w:t>
      </w:r>
    </w:p>
    <w:p w:rsidR="00734DC2" w:rsidRDefault="00734DC2">
      <w:pPr>
        <w:spacing w:after="0" w:line="240" w:lineRule="auto"/>
        <w:ind w:left="720"/>
        <w:jc w:val="both"/>
        <w:textAlignment w:val="baseline"/>
        <w:rPr>
          <w:rFonts w:eastAsia="Times New Roman" w:cs="Times New Roman"/>
          <w:color w:val="000000"/>
        </w:rPr>
      </w:pPr>
    </w:p>
    <w:p w:rsidR="00734DC2" w:rsidRDefault="003420A0">
      <w:pPr>
        <w:spacing w:after="0" w:line="240" w:lineRule="auto"/>
        <w:jc w:val="both"/>
        <w:textAlignment w:val="baseline"/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Analizar los enfoques actuales sobre diseño y evaluación de proyectos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socioeducativos y sus sentidos políticos.</w:t>
      </w:r>
    </w:p>
    <w:p w:rsidR="00734DC2" w:rsidRDefault="00734DC2">
      <w:pPr>
        <w:spacing w:after="0" w:line="240" w:lineRule="auto"/>
        <w:ind w:left="720"/>
        <w:jc w:val="both"/>
        <w:textAlignment w:val="baseline"/>
        <w:rPr>
          <w:rFonts w:eastAsia="Times New Roman" w:cs="Times New Roman"/>
          <w:color w:val="000000"/>
        </w:rPr>
      </w:pPr>
    </w:p>
    <w:p w:rsidR="00734DC2" w:rsidRDefault="003420A0">
      <w:pPr>
        <w:spacing w:after="0" w:line="240" w:lineRule="auto"/>
        <w:jc w:val="both"/>
        <w:textAlignment w:val="baseline"/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Conocer herramientas metodológicas para la formulación, implementación y evaluación de políticas, programas y proyectos en instituciones y en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organizaciones sociales. </w:t>
      </w:r>
    </w:p>
    <w:p w:rsidR="00734DC2" w:rsidRDefault="00734DC2">
      <w:pPr>
        <w:spacing w:after="0" w:line="240" w:lineRule="auto"/>
        <w:ind w:left="720"/>
        <w:jc w:val="both"/>
        <w:textAlignment w:val="baseline"/>
        <w:rPr>
          <w:rFonts w:eastAsia="Times New Roman" w:cs="Times New Roman"/>
          <w:color w:val="000000"/>
        </w:rPr>
      </w:pPr>
    </w:p>
    <w:p w:rsidR="00734DC2" w:rsidRDefault="003420A0">
      <w:pPr>
        <w:spacing w:after="0" w:line="240" w:lineRule="auto"/>
        <w:jc w:val="both"/>
        <w:textAlignment w:val="baseline"/>
      </w:pPr>
      <w:r>
        <w:rPr>
          <w:rFonts w:ascii="Arial" w:eastAsia="Times New Roman" w:hAnsi="Arial" w:cs="Times New Roman"/>
          <w:color w:val="000000"/>
          <w:sz w:val="24"/>
          <w:szCs w:val="24"/>
        </w:rPr>
        <w:t>Interpretar la relación entre los propósitos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político-pedagógicos y los aspectos metodológicos en el desarrollo de políticas, programas y proyectos.</w:t>
      </w:r>
    </w:p>
    <w:p w:rsidR="00734DC2" w:rsidRDefault="00734DC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</w:p>
    <w:p w:rsidR="00734DC2" w:rsidRDefault="00734DC2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4DC2" w:rsidRDefault="003420A0">
      <w:pPr>
        <w:numPr>
          <w:ilvl w:val="0"/>
          <w:numId w:val="3"/>
        </w:numPr>
        <w:spacing w:after="12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lastRenderedPageBreak/>
        <w:t>Contenidos:</w:t>
      </w:r>
    </w:p>
    <w:p w:rsidR="00734DC2" w:rsidRDefault="003420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u w:val="single"/>
        </w:rPr>
        <w:t>Unidad temática 1</w:t>
      </w:r>
    </w:p>
    <w:p w:rsidR="00734DC2" w:rsidRDefault="003420A0">
      <w:pPr>
        <w:spacing w:after="120" w:line="240" w:lineRule="auto"/>
        <w:jc w:val="both"/>
      </w:pPr>
      <w:r>
        <w:rPr>
          <w:rFonts w:ascii="Arial" w:eastAsia="Times New Roman" w:hAnsi="Arial" w:cs="Times New Roman"/>
          <w:color w:val="000000"/>
          <w:sz w:val="24"/>
          <w:szCs w:val="24"/>
        </w:rPr>
        <w:t>Desarrollismo y planificación. La perspectiva tecnocrática y sus efectos en el ámbito de la educación. Programas y proy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ectos como herramienta de intervención educativa.</w:t>
      </w:r>
    </w:p>
    <w:p w:rsidR="00734DC2" w:rsidRDefault="00734DC2">
      <w:pPr>
        <w:spacing w:after="12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u w:val="single"/>
        </w:rPr>
      </w:pPr>
    </w:p>
    <w:p w:rsidR="00734DC2" w:rsidRDefault="003420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u w:val="single"/>
        </w:rPr>
        <w:t>Unidad temática 2</w:t>
      </w:r>
    </w:p>
    <w:p w:rsidR="00734DC2" w:rsidRDefault="003420A0">
      <w:pPr>
        <w:spacing w:after="120" w:line="240" w:lineRule="auto"/>
        <w:jc w:val="both"/>
      </w:pPr>
      <w:r>
        <w:rPr>
          <w:rFonts w:ascii="Arial" w:eastAsia="Times New Roman" w:hAnsi="Arial" w:cs="Times New Roman"/>
          <w:color w:val="000000"/>
          <w:sz w:val="24"/>
          <w:szCs w:val="24"/>
        </w:rPr>
        <w:t>El diagnóstico como momento de construcción del objeto de intervención. La metodología en el diagnóstico. Identificación de necesidades y problemas. Análisis de actores involucrados y con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flicto de intereses. Planteo de alternativas. Análisis de viabilidad (ética, política, legal, socio-cultural, financiera, de gestión).    </w:t>
      </w:r>
    </w:p>
    <w:p w:rsidR="00734DC2" w:rsidRDefault="00734DC2">
      <w:pPr>
        <w:spacing w:after="12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u w:val="single"/>
        </w:rPr>
      </w:pPr>
    </w:p>
    <w:p w:rsidR="00734DC2" w:rsidRDefault="003420A0">
      <w:pPr>
        <w:spacing w:after="120" w:line="240" w:lineRule="auto"/>
        <w:jc w:val="both"/>
        <w:rPr>
          <w:u w:val="single"/>
        </w:rPr>
      </w:pPr>
      <w:r>
        <w:rPr>
          <w:rFonts w:ascii="Arial" w:eastAsia="Times New Roman" w:hAnsi="Arial" w:cs="Times New Roman"/>
          <w:color w:val="000000"/>
          <w:sz w:val="24"/>
          <w:szCs w:val="24"/>
          <w:u w:val="single"/>
        </w:rPr>
        <w:t>Unidad temática 3</w:t>
      </w:r>
    </w:p>
    <w:p w:rsidR="00734DC2" w:rsidRDefault="003420A0">
      <w:pPr>
        <w:spacing w:after="120" w:line="240" w:lineRule="auto"/>
        <w:jc w:val="both"/>
      </w:pPr>
      <w:r>
        <w:rPr>
          <w:rFonts w:ascii="Arial" w:eastAsia="Times New Roman" w:hAnsi="Arial" w:cs="Times New Roman"/>
          <w:color w:val="000000"/>
          <w:sz w:val="24"/>
          <w:szCs w:val="24"/>
        </w:rPr>
        <w:t>Perspectivas en la formulación de proyectos socioeducativos. Construcción de problemas y ámbitos d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e intervención. Definición de propósitos y objetivos. Determinación de recursos y líneas de acción. Análisis de los recursos y elaboración del presupuesto. Construcción del plan de trabajo y cronograma. Formulación de criterios y metodologías de evaluación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. </w:t>
      </w:r>
    </w:p>
    <w:p w:rsidR="00734DC2" w:rsidRDefault="00734DC2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734DC2" w:rsidRDefault="00734DC2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4DC2" w:rsidRDefault="003420A0">
      <w:pPr>
        <w:numPr>
          <w:ilvl w:val="0"/>
          <w:numId w:val="4"/>
        </w:numPr>
        <w:spacing w:after="120" w:line="24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Actividades</w:t>
      </w:r>
    </w:p>
    <w:p w:rsidR="00734DC2" w:rsidRDefault="003420A0">
      <w:pPr>
        <w:spacing w:after="120" w:line="240" w:lineRule="auto"/>
        <w:jc w:val="both"/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El seminario incluye clases teóricas en torno a las cuestiones metodológicas del diseño de políticas, programas y proyectos llevados a cabo, así como instancias de trabajo grupal en la producción de proyectos pedagógicos de acuerdo a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especificaciones establecidas.</w:t>
      </w:r>
    </w:p>
    <w:p w:rsidR="00734DC2" w:rsidRDefault="003420A0">
      <w:pPr>
        <w:spacing w:after="120" w:line="240" w:lineRule="auto"/>
        <w:jc w:val="both"/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Asimismo, incluye la participación, a modo de invitadas/os, de especialistas que han  formulado, implementado y monitoreado programas en las áreas de las orientaciones contempladas en la Especialización. </w:t>
      </w:r>
    </w:p>
    <w:p w:rsidR="00734DC2" w:rsidRDefault="003420A0">
      <w:pPr>
        <w:spacing w:after="0" w:line="240" w:lineRule="auto"/>
        <w:textAlignment w:val="baseline"/>
        <w:rPr>
          <w:rFonts w:ascii="Arial" w:eastAsia="Times New Roman" w:hAnsi="Arial" w:cs="Times New Roman"/>
          <w:b/>
          <w:bCs/>
          <w:color w:val="000000"/>
          <w:sz w:val="12"/>
          <w:szCs w:val="12"/>
        </w:rPr>
      </w:pPr>
      <w:r>
        <w:rPr>
          <w:rFonts w:ascii="Arial" w:eastAsia="Times New Roman" w:hAnsi="Arial" w:cs="Times New Roman"/>
          <w:b/>
          <w:bCs/>
          <w:noProof/>
          <w:color w:val="000000"/>
          <w:sz w:val="12"/>
          <w:szCs w:val="12"/>
          <w:lang w:val="en-US" w:eastAsia="en-US"/>
        </w:rPr>
        <mc:AlternateContent>
          <mc:Choice Requires="wps">
            <w:drawing>
              <wp:anchor distT="0" distB="47625" distL="0" distR="0" simplePos="0" relativeHeight="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5916930" cy="382905"/>
                <wp:effectExtent l="0" t="0" r="0" b="0"/>
                <wp:wrapSquare wrapText="largest"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240" cy="3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34DC2" w:rsidRDefault="00734DC2">
                            <w:pPr>
                              <w:pStyle w:val="Ttulo2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17640">
                        <a:noAutofit/>
                      </wps:bodyPr>
                    </wps:wsp>
                  </a:graphicData>
                </a:graphic>
                <wp14:sizeRelH relativeFrom="margin">
                  <wp14:pctWidth>99000</wp14:pctWidth>
                </wp14:sizeRelH>
              </wp:anchor>
            </w:drawing>
          </mc:Choice>
          <mc:Fallback>
            <w:pict>
              <v:rect id="Marco1" o:spid="_x0000_s1026" style="position:absolute;margin-left:0;margin-top:.05pt;width:465.9pt;height:30.15pt;z-index:2;visibility:visible;mso-wrap-style:square;mso-width-percent:990;mso-wrap-distance-left:0;mso-wrap-distance-top:0;mso-wrap-distance-right:0;mso-wrap-distance-bottom:3.75pt;mso-position-horizontal:left;mso-position-horizontal-relative:text;mso-position-vertical:absolute;mso-position-vertical-relative:line;mso-width-percent:99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W+6gEAADkEAAAOAAAAZHJzL2Uyb0RvYy54bWysU9uOEzEMfUfiH6K802m7UJaq0xViVYTE&#10;ZcXCB6SZpI2UxJGTbad/j+OZdhd4WsQ8ZJzEx845tlc3ffDiYDA7iK2cTaZSmKihc3HXyp8/Nq+u&#10;pchFxU55iKaVJ5Plzfrli9UxLc0c9uA7g4KCxLw8plbuS0nLpsl6b4LKE0gm0qUFDKrQFndNh+pI&#10;0YNv5tPpojkCdglBm5zp9Ha4lGuOb63R5Zu12RThW0lvK7wir9u6NuuVWu5Qpb3T4zPUP7wiKBcp&#10;6SXUrSpKPKD7K1RwGiGDLRMNoQFrnTbMgdjMpn+wud+rZJgLiZPTRab8/8Lqr4c7FK6j2kkRVaAS&#10;fVGoYVaVOaa8JIf7dIfjLpNZafYWQ/0TAdGzmqeLmqYvQtPhm3ezxfw1ia7p7up6fjVnuZtHdMJc&#10;PhoIohqtRKoWi6gOn3OhjOR6dqnJMnjXbZz3vMHd9oNHcVBU2Q1/9ckE+c3Nx+ococKG63rSVGYD&#10;F7bKyZvq5+N3Y0kNpsRZ9JhmaBnqaeJzbhzKxYDqaCn+M7EjpKINd+oz8RcQ54dYLvjgIiCr8YRd&#10;NUu/7cdKbqE7UeX9p0jdVCfjbODZ2LIxe7ugGtYUEd4/FLCOK1OjDSFGNak/Wf1xluoAPN2z1+PE&#10;r38BAAD//wMAUEsDBBQABgAIAAAAIQA5uPxL2gAAAAQBAAAPAAAAZHJzL2Rvd25yZXYueG1sTI/B&#10;TsMwEETvSPyDtUjcqB1AFaRxKoKEuIEoReLo2tskNF5HsdOkf8/2BMfZWc28Kdaz78QRh9gG0pAt&#10;FAgkG1xLtYbt58vNA4iYDDnTBUINJ4ywLi8vCpO7MNEHHjepFhxCMTcampT6XMpoG/QmLkKPxN4+&#10;DN4klkMt3WAmDvedvFVqKb1piRsa0+Nzg/awGb0Gu309ZKe3dztW7quf1E/VqO9K6+ur+WkFIuGc&#10;/p7hjM/oUDLTLozkoug08JB0vgr2Hu8ynrHTsFT3IMtC/ocvfwEAAP//AwBQSwECLQAUAAYACAAA&#10;ACEAtoM4kv4AAADhAQAAEwAAAAAAAAAAAAAAAAAAAAAAW0NvbnRlbnRfVHlwZXNdLnhtbFBLAQIt&#10;ABQABgAIAAAAIQA4/SH/1gAAAJQBAAALAAAAAAAAAAAAAAAAAC8BAABfcmVscy8ucmVsc1BLAQIt&#10;ABQABgAIAAAAIQCQWkW+6gEAADkEAAAOAAAAAAAAAAAAAAAAAC4CAABkcnMvZTJvRG9jLnhtbFBL&#10;AQItABQABgAIAAAAIQA5uPxL2gAAAAQBAAAPAAAAAAAAAAAAAAAAAEQEAABkcnMvZG93bnJldi54&#10;bWxQSwUGAAAAAAQABADzAAAASwUAAAAA&#10;" stroked="f">
                <v:textbox inset="0,0,0,.49mm">
                  <w:txbxContent>
                    <w:p w:rsidR="00734DC2" w:rsidRDefault="00734DC2">
                      <w:pPr>
                        <w:pStyle w:val="Ttulo2"/>
                        <w:jc w:val="right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side="largest" anchory="line"/>
              </v:rect>
            </w:pict>
          </mc:Fallback>
        </mc:AlternateContent>
      </w:r>
    </w:p>
    <w:p w:rsidR="00734DC2" w:rsidRDefault="003420A0">
      <w:pPr>
        <w:numPr>
          <w:ilvl w:val="0"/>
          <w:numId w:val="5"/>
        </w:numPr>
        <w:spacing w:after="0" w:line="240" w:lineRule="auto"/>
        <w:textAlignment w:val="baseline"/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Bibliografía</w:t>
      </w:r>
    </w:p>
    <w:p w:rsidR="00734DC2" w:rsidRDefault="00734DC2">
      <w:pPr>
        <w:spacing w:after="0" w:line="240" w:lineRule="auto"/>
        <w:ind w:left="720"/>
        <w:textAlignment w:val="baseline"/>
        <w:rPr>
          <w:rStyle w:val="EnlacedeInternet"/>
          <w:rFonts w:ascii="Arial" w:eastAsia="Times New Roman" w:hAnsi="Arial" w:cs="Times New Roman"/>
          <w:color w:val="000000"/>
          <w:sz w:val="24"/>
          <w:szCs w:val="24"/>
          <w:u w:val="none"/>
        </w:rPr>
      </w:pPr>
    </w:p>
    <w:p w:rsidR="00734DC2" w:rsidRDefault="003420A0">
      <w:pPr>
        <w:spacing w:after="0" w:line="240" w:lineRule="auto"/>
        <w:jc w:val="both"/>
        <w:textAlignment w:val="baseline"/>
      </w:pPr>
      <w:r>
        <w:rPr>
          <w:rStyle w:val="EnlacedeInternet"/>
          <w:rFonts w:ascii="Arial" w:eastAsia="Times New Roman" w:hAnsi="Arial" w:cs="Times New Roman"/>
          <w:color w:val="000000"/>
          <w:sz w:val="24"/>
          <w:szCs w:val="24"/>
          <w:u w:val="none"/>
        </w:rPr>
        <w:t>Arroyo, D. (2011). El rol de los gobiernos locales. La evaluación de los proyectos. Editorial UNQ</w:t>
      </w:r>
    </w:p>
    <w:p w:rsidR="00734DC2" w:rsidRDefault="00734DC2">
      <w:pPr>
        <w:spacing w:after="0" w:line="240" w:lineRule="auto"/>
        <w:jc w:val="both"/>
        <w:textAlignment w:val="baseline"/>
        <w:rPr>
          <w:rStyle w:val="EnlacedeInternet"/>
          <w:rFonts w:ascii="Arial" w:eastAsia="Times New Roman" w:hAnsi="Arial" w:cs="Times New Roman"/>
          <w:color w:val="000000"/>
          <w:sz w:val="24"/>
          <w:szCs w:val="24"/>
          <w:u w:val="none"/>
        </w:rPr>
      </w:pPr>
    </w:p>
    <w:p w:rsidR="00734DC2" w:rsidRDefault="003420A0">
      <w:pPr>
        <w:pStyle w:val="Textoindependiente"/>
        <w:spacing w:after="0" w:line="240" w:lineRule="auto"/>
        <w:jc w:val="both"/>
        <w:textAlignment w:val="baseline"/>
      </w:pPr>
      <w:r>
        <w:rPr>
          <w:rStyle w:val="EnlacedeInternet"/>
          <w:rFonts w:ascii="Arial" w:eastAsia="Times New Roman" w:hAnsi="Arial" w:cs="Times New Roman"/>
          <w:color w:val="000000"/>
          <w:sz w:val="24"/>
          <w:szCs w:val="24"/>
          <w:u w:val="none"/>
        </w:rPr>
        <w:t>Atairo, D. (2011) “Una mirada sobre los actores universitarios, sus estrategias e intereses. El proceso de implementación del Programa FOMEC en la UNLP”, en:</w:t>
      </w:r>
      <w:r>
        <w:rPr>
          <w:rStyle w:val="EnlacedeInternet"/>
          <w:rFonts w:ascii="Arial" w:eastAsia="Times New Roman" w:hAnsi="Arial" w:cs="Times New Roman"/>
          <w:color w:val="000000"/>
          <w:sz w:val="24"/>
          <w:szCs w:val="24"/>
          <w:u w:val="none"/>
        </w:rPr>
        <w:t xml:space="preserve"> Propuesta Educativa, Año 20, vol. 2, N° 36, nov. 2011, FLACSO, Buenos Aires. </w:t>
      </w:r>
    </w:p>
    <w:p w:rsidR="00734DC2" w:rsidRDefault="00734DC2">
      <w:pPr>
        <w:spacing w:after="12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734DC2" w:rsidRDefault="003420A0">
      <w:pPr>
        <w:spacing w:after="120" w:line="240" w:lineRule="auto"/>
        <w:jc w:val="both"/>
        <w:textAlignment w:val="baseline"/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Chiara, M. (2008).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Evaluación del Programa PIIE.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Buenos Aires: DINIECE, Ministerio de Educación. </w:t>
      </w:r>
    </w:p>
    <w:p w:rsidR="00734DC2" w:rsidRDefault="00734DC2">
      <w:pPr>
        <w:spacing w:after="120" w:line="240" w:lineRule="auto"/>
        <w:jc w:val="both"/>
        <w:textAlignment w:val="baseline"/>
        <w:rPr>
          <w:rFonts w:ascii="Arial" w:eastAsia="Times New Roman" w:hAnsi="Arial" w:cs="Times New Roman"/>
          <w:color w:val="000000"/>
          <w:sz w:val="16"/>
          <w:szCs w:val="16"/>
        </w:rPr>
      </w:pPr>
    </w:p>
    <w:p w:rsidR="00734DC2" w:rsidRDefault="003420A0">
      <w:pPr>
        <w:spacing w:after="120" w:line="240" w:lineRule="auto"/>
        <w:jc w:val="both"/>
        <w:textAlignment w:val="baseline"/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Ilari, S (2006) </w:t>
      </w:r>
      <w:r>
        <w:rPr>
          <w:rFonts w:ascii="Arial" w:hAnsi="Arial"/>
          <w:color w:val="000000"/>
          <w:sz w:val="24"/>
          <w:szCs w:val="24"/>
        </w:rPr>
        <w:t xml:space="preserve">Investigaciones en curso Entre el género y la especie. </w:t>
      </w:r>
      <w:r>
        <w:rPr>
          <w:rFonts w:ascii="Arial" w:hAnsi="Arial"/>
          <w:color w:val="000000"/>
          <w:sz w:val="24"/>
          <w:szCs w:val="24"/>
        </w:rPr>
        <w:t>Reflexionando sobre la política y gestión social. Revista Circunstancia. Año IV – N 11 – S</w:t>
      </w:r>
      <w:bookmarkStart w:id="1" w:name="0"/>
      <w:bookmarkEnd w:id="1"/>
      <w:r>
        <w:rPr>
          <w:rFonts w:ascii="Arial" w:hAnsi="Arial"/>
          <w:color w:val="000000"/>
          <w:sz w:val="24"/>
          <w:szCs w:val="24"/>
        </w:rPr>
        <w:t xml:space="preserve">eptiembre. Disponible en: </w:t>
      </w:r>
      <w:hyperlink r:id="rId5">
        <w:r>
          <w:rPr>
            <w:rStyle w:val="EnlacedeInternet"/>
            <w:rFonts w:ascii="Arial" w:hAnsi="Arial"/>
            <w:color w:val="000000"/>
            <w:sz w:val="24"/>
            <w:szCs w:val="24"/>
          </w:rPr>
          <w:t>http://www.ortegaygasset.edu/publicaciones/circunstancia/ano-iv---numero-11---septiembre-2006/investigaciones-en-curso/entre-el-genero-y-la-especie--reflexiona</w:t>
        </w:r>
        <w:r>
          <w:rPr>
            <w:rStyle w:val="EnlacedeInternet"/>
            <w:rFonts w:ascii="Arial" w:hAnsi="Arial"/>
            <w:color w:val="000000"/>
            <w:sz w:val="24"/>
            <w:szCs w:val="24"/>
          </w:rPr>
          <w:t>ndo-sobre-la-naturaleza-de-la-politica-y-la-gestion-social</w:t>
        </w:r>
      </w:hyperlink>
    </w:p>
    <w:p w:rsidR="00734DC2" w:rsidRDefault="00734DC2">
      <w:pPr>
        <w:spacing w:after="0" w:line="240" w:lineRule="auto"/>
        <w:ind w:left="720"/>
        <w:jc w:val="both"/>
        <w:textAlignment w:val="baseline"/>
        <w:rPr>
          <w:rFonts w:ascii="Arial" w:hAnsi="Arial"/>
          <w:color w:val="000000"/>
          <w:sz w:val="20"/>
          <w:szCs w:val="20"/>
        </w:rPr>
      </w:pPr>
    </w:p>
    <w:p w:rsidR="00734DC2" w:rsidRDefault="003420A0">
      <w:pPr>
        <w:spacing w:after="0" w:line="240" w:lineRule="auto"/>
        <w:jc w:val="both"/>
        <w:textAlignment w:val="baseline"/>
      </w:pPr>
      <w:r>
        <w:rPr>
          <w:rFonts w:ascii="Arial" w:hAnsi="Arial"/>
          <w:color w:val="000000"/>
          <w:sz w:val="24"/>
          <w:szCs w:val="24"/>
        </w:rPr>
        <w:t xml:space="preserve">Ilari, S (2005) “La reformulación de los programas sociales. Del </w:t>
      </w:r>
      <w:r>
        <w:rPr>
          <w:rFonts w:ascii="Arial" w:hAnsi="Arial"/>
          <w:i/>
          <w:iCs/>
          <w:color w:val="000000"/>
          <w:sz w:val="24"/>
          <w:szCs w:val="24"/>
        </w:rPr>
        <w:t xml:space="preserve">Plan Vida </w:t>
      </w:r>
      <w:r>
        <w:rPr>
          <w:rFonts w:ascii="Arial" w:hAnsi="Arial"/>
          <w:color w:val="000000"/>
          <w:sz w:val="24"/>
          <w:szCs w:val="24"/>
        </w:rPr>
        <w:t xml:space="preserve">al </w:t>
      </w:r>
      <w:r>
        <w:rPr>
          <w:rFonts w:ascii="Arial" w:hAnsi="Arial"/>
          <w:i/>
          <w:iCs/>
          <w:color w:val="000000"/>
          <w:sz w:val="24"/>
          <w:szCs w:val="24"/>
        </w:rPr>
        <w:t>Plan Más Vida</w:t>
      </w:r>
      <w:r>
        <w:rPr>
          <w:rFonts w:ascii="Arial" w:hAnsi="Arial"/>
          <w:color w:val="000000"/>
          <w:sz w:val="24"/>
          <w:szCs w:val="24"/>
        </w:rPr>
        <w:t xml:space="preserve">”. INDES.  </w:t>
      </w:r>
    </w:p>
    <w:p w:rsidR="00734DC2" w:rsidRDefault="00734DC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000000"/>
        </w:rPr>
      </w:pPr>
    </w:p>
    <w:p w:rsidR="00734DC2" w:rsidRDefault="003420A0">
      <w:pPr>
        <w:spacing w:after="0" w:line="240" w:lineRule="auto"/>
        <w:jc w:val="both"/>
        <w:textAlignment w:val="baseline"/>
      </w:pPr>
      <w:r>
        <w:rPr>
          <w:rFonts w:ascii="Arial" w:eastAsia="Times New Roman" w:hAnsi="Arial" w:cs="Times New Roman"/>
          <w:color w:val="000000"/>
          <w:sz w:val="24"/>
          <w:szCs w:val="24"/>
        </w:rPr>
        <w:t>Llomovatte, S., Juarros, F y Kantarovich, G (2013) “La prospectiva en el proceso de planific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ación educativa”. En: Llomovatte, S., Juarros, F y Kantarovich, G (2013) Reflexiones prospectivas. Facultad de Filosofía y Letras, UBA.</w:t>
      </w:r>
    </w:p>
    <w:p w:rsidR="00734DC2" w:rsidRDefault="00734DC2">
      <w:pPr>
        <w:spacing w:after="0" w:line="240" w:lineRule="auto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734DC2" w:rsidRDefault="003420A0">
      <w:pPr>
        <w:spacing w:after="0" w:line="240" w:lineRule="auto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Documento de la DINIECE, Ministerio de Educación. Secretaría de Educación. Quia para la evaluación de programas en educ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ación, 2008</w:t>
      </w:r>
    </w:p>
    <w:p w:rsidR="00734DC2" w:rsidRDefault="00734DC2">
      <w:pPr>
        <w:spacing w:after="0" w:line="240" w:lineRule="auto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734DC2" w:rsidRDefault="003420A0">
      <w:pPr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Programa Nacional de Educación Solidaria. Itinerario y herramientas para el desarrollo de proyectos. Ministerio de Educación, 2012 </w:t>
      </w:r>
    </w:p>
    <w:p w:rsidR="00734DC2" w:rsidRDefault="00734DC2">
      <w:pPr>
        <w:spacing w:after="0" w:line="240" w:lineRule="auto"/>
        <w:jc w:val="both"/>
        <w:textAlignment w:val="baseline"/>
        <w:rPr>
          <w:rFonts w:ascii="Arial" w:eastAsia="Times New Roman" w:hAnsi="Arial" w:cs="Times New Roman"/>
          <w:color w:val="000000"/>
        </w:rPr>
      </w:pPr>
    </w:p>
    <w:p w:rsidR="00734DC2" w:rsidRDefault="003420A0">
      <w:pPr>
        <w:spacing w:after="120" w:line="240" w:lineRule="auto"/>
        <w:jc w:val="both"/>
        <w:textAlignment w:val="baseline"/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Terigi, F. (2007). “Cuatro concepciones sobre el planeamiento educativo en la reforma educativa argentina de los noventa”, en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Education Policy Analysis Archives/Archivos Analíticos de Políticas Educativas.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Vol. 15, enero. Disponible en </w:t>
      </w:r>
      <w:hyperlink r:id="rId6">
        <w:bookmarkStart w:id="2" w:name="__DdeLink__155_2045805518"/>
        <w:r>
          <w:rPr>
            <w:rStyle w:val="EnlacedeInternet"/>
            <w:rFonts w:ascii="Arial" w:eastAsia="Times New Roman" w:hAnsi="Arial" w:cs="Times New Roman"/>
            <w:sz w:val="24"/>
            <w:szCs w:val="24"/>
          </w:rPr>
          <w:t>http://www.redalyc.org/articulo.oa?id=275020546010</w:t>
        </w:r>
      </w:hyperlink>
      <w:bookmarkEnd w:id="2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</w:p>
    <w:p w:rsidR="00734DC2" w:rsidRDefault="00734DC2">
      <w:pPr>
        <w:spacing w:after="120" w:line="240" w:lineRule="auto"/>
        <w:ind w:left="720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</w:p>
    <w:p w:rsidR="00734DC2" w:rsidRDefault="003420A0">
      <w:pPr>
        <w:numPr>
          <w:ilvl w:val="0"/>
          <w:numId w:val="6"/>
        </w:numPr>
        <w:spacing w:after="120" w:line="24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Evaluación</w:t>
      </w:r>
    </w:p>
    <w:p w:rsidR="00734DC2" w:rsidRDefault="003420A0">
      <w:pPr>
        <w:spacing w:after="120" w:line="240" w:lineRule="auto"/>
        <w:jc w:val="both"/>
      </w:pPr>
      <w:r>
        <w:rPr>
          <w:rFonts w:ascii="Arial" w:eastAsia="Times New Roman" w:hAnsi="Arial" w:cs="Times New Roman"/>
          <w:color w:val="000000"/>
          <w:sz w:val="24"/>
          <w:szCs w:val="24"/>
        </w:rPr>
        <w:t>Son requisitos para la aprobación del Seminario la entrega de un trabajo final consistente en el diseño de un proyecto ha realizarse en grupos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de hasta tres integrantes.</w:t>
      </w:r>
    </w:p>
    <w:p w:rsidR="00734DC2" w:rsidRDefault="00734DC2"/>
    <w:sectPr w:rsidR="00734DC2">
      <w:pgSz w:w="12240" w:h="15840"/>
      <w:pgMar w:top="1417" w:right="1377" w:bottom="1417" w:left="14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003"/>
    <w:multiLevelType w:val="multilevel"/>
    <w:tmpl w:val="2808241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9E2162"/>
    <w:multiLevelType w:val="multilevel"/>
    <w:tmpl w:val="C866A9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FC3CBB"/>
    <w:multiLevelType w:val="multilevel"/>
    <w:tmpl w:val="385EF54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F0F6E"/>
    <w:multiLevelType w:val="multilevel"/>
    <w:tmpl w:val="5F722D8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A56BA8"/>
    <w:multiLevelType w:val="multilevel"/>
    <w:tmpl w:val="90A8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66098A"/>
    <w:multiLevelType w:val="multilevel"/>
    <w:tmpl w:val="366ACC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F1B0D4E"/>
    <w:multiLevelType w:val="multilevel"/>
    <w:tmpl w:val="2CFE7CE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C2"/>
    <w:rsid w:val="003420A0"/>
    <w:rsid w:val="0073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D2824-E065-40E7-B5FB-924F7004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2">
    <w:name w:val="heading 2"/>
    <w:basedOn w:val="Encabezado"/>
    <w:qFormat/>
    <w:pPr>
      <w:outlineLvl w:val="1"/>
    </w:pPr>
  </w:style>
  <w:style w:type="paragraph" w:styleId="Ttulo3">
    <w:name w:val="heading 3"/>
    <w:basedOn w:val="Encabezado"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semiHidden/>
    <w:unhideWhenUsed/>
    <w:rsid w:val="00AE6AED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4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ascii="Times New Roman" w:hAnsi="Times New Roman" w:cs="Symbol"/>
      <w:sz w:val="24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AE6A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alyc.org/articulo.oa?id=275020546010" TargetMode="External"/><Relationship Id="rId5" Type="http://schemas.openxmlformats.org/officeDocument/2006/relationships/hyperlink" Target="http://www.ortegaygasset.edu/publicaciones/circunstancia/ano-iv---numero-11---septiembre-2006/investigaciones-en-curso/entre-el-genero-y-la-especie--reflexionando-sobre-la-naturaleza-de-la-politica-y-la-gestion-soc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Ariadna</cp:lastModifiedBy>
  <cp:revision>2</cp:revision>
  <dcterms:created xsi:type="dcterms:W3CDTF">2020-10-16T02:40:00Z</dcterms:created>
  <dcterms:modified xsi:type="dcterms:W3CDTF">2020-10-16T02:40:00Z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