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911699" w:rsidRDefault="00E63F77" w14:paraId="2B572650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hAnsi="Cambria" w:eastAsia="Cambria" w:cs="Cambria"/>
          <w:b/>
          <w:color w:val="000000"/>
          <w:sz w:val="32"/>
          <w:szCs w:val="32"/>
        </w:rPr>
      </w:pPr>
      <w:r>
        <w:rPr>
          <w:noProof/>
          <w:lang w:eastAsia="es-AR"/>
        </w:rPr>
        <w:drawing>
          <wp:anchor xmlns:wp14="http://schemas.microsoft.com/office/word/2010/wordprocessingDrawing" distT="0" distB="0" distL="0" distR="0" simplePos="0" relativeHeight="251658240" behindDoc="1" locked="0" layoutInCell="1" hidden="0" allowOverlap="1" wp14:anchorId="3EF12808" wp14:editId="7777777">
            <wp:simplePos x="0" y="0"/>
            <wp:positionH relativeFrom="column">
              <wp:posOffset>-228599</wp:posOffset>
            </wp:positionH>
            <wp:positionV relativeFrom="paragraph">
              <wp:posOffset>0</wp:posOffset>
            </wp:positionV>
            <wp:extent cx="2144078" cy="139614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7" t="-13" r="-6" b="-13"/>
                    <a:stretch>
                      <a:fillRect/>
                    </a:stretch>
                  </pic:blipFill>
                  <pic:spPr>
                    <a:xfrm>
                      <a:off x="0" y="0"/>
                      <a:ext cx="2144078" cy="1396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911699" w:rsidRDefault="00911699" w14:paraId="672A6659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hAnsi="Cambria" w:eastAsia="Cambria" w:cs="Cambria"/>
          <w:b/>
          <w:color w:val="000000"/>
          <w:sz w:val="32"/>
          <w:szCs w:val="32"/>
        </w:rPr>
      </w:pPr>
    </w:p>
    <w:p xmlns:wp14="http://schemas.microsoft.com/office/word/2010/wordml" w:rsidR="00911699" w:rsidRDefault="00911699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hAnsi="Cambria" w:eastAsia="Cambria" w:cs="Cambria"/>
          <w:b/>
          <w:color w:val="000000"/>
          <w:sz w:val="32"/>
          <w:szCs w:val="32"/>
        </w:rPr>
      </w:pPr>
    </w:p>
    <w:p xmlns:wp14="http://schemas.microsoft.com/office/word/2010/wordml" w:rsidR="00911699" w:rsidRDefault="00911699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hAnsi="Cambria" w:eastAsia="Cambria" w:cs="Cambria"/>
          <w:b/>
          <w:color w:val="000000"/>
          <w:sz w:val="32"/>
          <w:szCs w:val="32"/>
        </w:rPr>
      </w:pPr>
    </w:p>
    <w:p xmlns:wp14="http://schemas.microsoft.com/office/word/2010/wordml" w:rsidR="00911699" w:rsidRDefault="00E63F77" w14:paraId="085AAA52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hAnsi="Cambria" w:eastAsia="Cambria" w:cs="Cambria"/>
          <w:b/>
          <w:color w:val="000000"/>
          <w:sz w:val="30"/>
          <w:szCs w:val="30"/>
        </w:rPr>
      </w:pPr>
      <w:r>
        <w:rPr>
          <w:rFonts w:ascii="Cambria" w:hAnsi="Cambria" w:eastAsia="Cambria" w:cs="Cambria"/>
          <w:b/>
          <w:color w:val="000000"/>
          <w:sz w:val="30"/>
          <w:szCs w:val="30"/>
        </w:rPr>
        <w:t>SEMINARIO DE CARRERA DE ESPECIALIZACIÓN EN EDUCACIÓN: PEDAGOGÍAS PARA LA IGUALDAD EN CONTEXTOS SOCIOEDUCATIVOS DIVERSOS</w:t>
      </w:r>
    </w:p>
    <w:p xmlns:wp14="http://schemas.microsoft.com/office/word/2010/wordml" w:rsidR="00911699" w:rsidRDefault="00911699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hAnsi="Cambria" w:eastAsia="Cambria" w:cs="Cambria"/>
          <w:b/>
          <w:color w:val="000000"/>
          <w:sz w:val="28"/>
          <w:szCs w:val="28"/>
        </w:rPr>
      </w:pPr>
    </w:p>
    <w:p xmlns:wp14="http://schemas.microsoft.com/office/word/2010/wordml" w:rsidR="00911699" w:rsidRDefault="00E63F77" w14:paraId="25106F8B" wp14:textId="7777777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hAnsi="Cambria" w:eastAsia="Cambria" w:cs="Cambria"/>
          <w:b/>
          <w:color w:val="000000"/>
          <w:sz w:val="30"/>
          <w:szCs w:val="30"/>
        </w:rPr>
      </w:pPr>
      <w:r>
        <w:rPr>
          <w:rFonts w:ascii="Cambria" w:hAnsi="Cambria" w:eastAsia="Cambria" w:cs="Cambria"/>
          <w:b/>
          <w:color w:val="000000"/>
          <w:sz w:val="30"/>
          <w:szCs w:val="30"/>
        </w:rPr>
        <w:t>Intervenciones creadoras: cajas de herramientas teóricas/metodológicas</w:t>
      </w:r>
    </w:p>
    <w:p xmlns:wp14="http://schemas.microsoft.com/office/word/2010/wordml" w:rsidR="00911699" w:rsidRDefault="00911699" w14:paraId="6A05A809" wp14:textId="77777777">
      <w:pPr>
        <w:ind w:left="0" w:hanging="2"/>
      </w:pPr>
    </w:p>
    <w:p xmlns:wp14="http://schemas.microsoft.com/office/word/2010/wordml" w:rsidR="00911699" w:rsidRDefault="00E63F77" w14:paraId="6D2A4F1C" wp14:textId="77777777">
      <w:pPr>
        <w:ind w:left="0" w:hanging="2"/>
      </w:pPr>
      <w:r>
        <w:t xml:space="preserve">Docente/s a cargo: Cecilia </w:t>
      </w:r>
      <w:proofErr w:type="spellStart"/>
      <w:r>
        <w:t>Gofman</w:t>
      </w:r>
      <w:proofErr w:type="spellEnd"/>
      <w:r>
        <w:t xml:space="preserve"> y </w:t>
      </w:r>
      <w:proofErr w:type="spellStart"/>
      <w:r>
        <w:t>Yanina</w:t>
      </w:r>
      <w:proofErr w:type="spellEnd"/>
      <w:r>
        <w:t xml:space="preserve"> </w:t>
      </w:r>
      <w:proofErr w:type="spellStart"/>
      <w:r>
        <w:t>Carpentieri</w:t>
      </w:r>
      <w:proofErr w:type="spellEnd"/>
    </w:p>
    <w:p xmlns:wp14="http://schemas.microsoft.com/office/word/2010/wordml" w:rsidR="00911699" w:rsidRDefault="00E63F77" w14:paraId="2C4B3FD2" wp14:textId="77777777">
      <w:pPr>
        <w:ind w:left="0" w:hanging="2"/>
      </w:pPr>
      <w:r>
        <w:t>Carga horaria: 48hs.</w:t>
      </w:r>
    </w:p>
    <w:p xmlns:wp14="http://schemas.microsoft.com/office/word/2010/wordml" w:rsidR="00911699" w:rsidRDefault="00E63F77" w14:paraId="74B8E8FB" wp14:textId="6E48FED4">
      <w:pPr>
        <w:ind w:left="0" w:hanging="2"/>
      </w:pPr>
      <w:r w:rsidR="00E63F77">
        <w:rPr/>
        <w:t xml:space="preserve">Cuatrimestre, año: </w:t>
      </w:r>
      <w:r w:rsidR="727DD619">
        <w:rPr/>
        <w:t>primer</w:t>
      </w:r>
      <w:r w:rsidR="00E63F77">
        <w:rPr/>
        <w:t xml:space="preserve"> </w:t>
      </w:r>
      <w:r w:rsidR="00E63F77">
        <w:rPr/>
        <w:t>cuatrimestre, 202</w:t>
      </w:r>
      <w:r w:rsidR="47DE1779">
        <w:rPr/>
        <w:t>3</w:t>
      </w:r>
    </w:p>
    <w:p xmlns:wp14="http://schemas.microsoft.com/office/word/2010/wordml" w:rsidR="00911699" w:rsidRDefault="00911699" w14:paraId="5A39BBE3" wp14:textId="77777777">
      <w:pPr>
        <w:ind w:left="0" w:hanging="2"/>
      </w:pPr>
    </w:p>
    <w:p xmlns:wp14="http://schemas.microsoft.com/office/word/2010/wordml" w:rsidR="00911699" w:rsidRDefault="00E63F77" w14:paraId="5D24FBC9" wp14:textId="7777777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hAnsi="Cambria" w:eastAsia="Cambria" w:cs="Cambria"/>
          <w:b/>
          <w:i/>
          <w:color w:val="000000"/>
          <w:sz w:val="28"/>
          <w:szCs w:val="28"/>
        </w:rPr>
      </w:pPr>
      <w:r>
        <w:rPr>
          <w:rFonts w:ascii="Cambria" w:hAnsi="Cambria" w:eastAsia="Cambria" w:cs="Cambria"/>
          <w:b/>
          <w:i/>
          <w:color w:val="000000"/>
          <w:sz w:val="28"/>
          <w:szCs w:val="28"/>
        </w:rPr>
        <w:t>Fundamentación</w:t>
      </w:r>
    </w:p>
    <w:p xmlns:wp14="http://schemas.microsoft.com/office/word/2010/wordml" w:rsidR="00911699" w:rsidRDefault="00911699" w14:paraId="41C8F396" wp14:textId="77777777">
      <w:pPr>
        <w:ind w:left="0" w:hanging="2"/>
      </w:pPr>
    </w:p>
    <w:p xmlns:wp14="http://schemas.microsoft.com/office/word/2010/wordml" w:rsidR="00911699" w:rsidRDefault="00E63F77" w14:paraId="35F7F692" wp14:textId="77777777">
      <w:pPr>
        <w:ind w:left="0" w:hanging="2"/>
      </w:pPr>
      <w:r>
        <w:t>El seminario procura brindar una caja de herramientas que permita a las, los y les estudiantes pensar y problematizar sus propias prácticas a la par de revisar los modos de intervención y creación de dispositivos para el trabajo en diversas instituciones y contextos.</w:t>
      </w:r>
    </w:p>
    <w:p xmlns:wp14="http://schemas.microsoft.com/office/word/2010/wordml" w:rsidR="00911699" w:rsidRDefault="00911699" w14:paraId="72A3D3EC" wp14:textId="77777777">
      <w:pPr>
        <w:ind w:left="0" w:hanging="2"/>
      </w:pPr>
    </w:p>
    <w:p xmlns:wp14="http://schemas.microsoft.com/office/word/2010/wordml" w:rsidRPr="00E63F77" w:rsidR="00911699" w:rsidRDefault="00E63F77" w14:paraId="6B8E62CF" wp14:textId="77777777">
      <w:pPr>
        <w:ind w:left="0" w:hanging="2"/>
      </w:pPr>
      <w:r>
        <w:t xml:space="preserve">En este marco, se trabajará en simultáneo tres niveles: -analítico que, a través de aportes del campo teórico de las pedagogías </w:t>
      </w:r>
      <w:proofErr w:type="spellStart"/>
      <w:r>
        <w:t>poscríticas</w:t>
      </w:r>
      <w:proofErr w:type="spellEnd"/>
      <w:r>
        <w:t xml:space="preserve">, los estudios culturales, la filosofía y las propuestas de la etnografía revisada a la luz del denominado “giro sensorial”, dispondrá los nudos problemáticos a trabajar; - práctico que, mediante el trabajo con experiencias y producciones en diferentes ámbitos y contextos, permitirá tensar los nudos problemáticos y mirarlos a través de modos de creación/intervención; </w:t>
      </w:r>
      <w:r w:rsidRPr="00E63F77">
        <w:t>- creativo, a partir de la producción de diversas piezas (o aproximaciones a ellas) durante la cursada del seminario.</w:t>
      </w:r>
    </w:p>
    <w:p xmlns:wp14="http://schemas.microsoft.com/office/word/2010/wordml" w:rsidR="00911699" w:rsidRDefault="00911699" w14:paraId="0D0B940D" wp14:textId="77777777">
      <w:pPr>
        <w:ind w:left="0" w:hanging="2"/>
      </w:pPr>
    </w:p>
    <w:p xmlns:wp14="http://schemas.microsoft.com/office/word/2010/wordml" w:rsidR="00911699" w:rsidRDefault="00E63F77" w14:paraId="77C25509" wp14:textId="77777777">
      <w:pPr>
        <w:ind w:left="0" w:hanging="2"/>
      </w:pPr>
      <w:r>
        <w:t>Asimismo, la pregunta por los modos de intervención y la producción de contenidos en contextos diversos recorrerá el seminario y nos convocará a pensar en las problemáticas de inclusión y desigualdad. En este sentido, analizar las experiencias en el marco de distintos proyectos de investigación e intervención y sus producciones (mapas y cartografías interactivos, fotografías y piezas audiovisuales y textos en formatos diversos), serán herramientas para pensar y problematizar el mundo.</w:t>
      </w:r>
    </w:p>
    <w:p xmlns:wp14="http://schemas.microsoft.com/office/word/2010/wordml" w:rsidR="00911699" w:rsidRDefault="00911699" w14:paraId="0E27B00A" wp14:textId="77777777">
      <w:pPr>
        <w:ind w:left="0" w:hanging="2"/>
      </w:pPr>
    </w:p>
    <w:p xmlns:wp14="http://schemas.microsoft.com/office/word/2010/wordml" w:rsidR="00911699" w:rsidRDefault="00E63F77" w14:paraId="024AAE2C" wp14:textId="7777777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rPr>
          <w:b/>
          <w:i/>
          <w:color w:val="000000"/>
        </w:rPr>
      </w:pPr>
      <w:r>
        <w:rPr>
          <w:b/>
          <w:i/>
          <w:color w:val="000000"/>
        </w:rPr>
        <w:t>Objetivos</w:t>
      </w:r>
    </w:p>
    <w:p xmlns:wp14="http://schemas.microsoft.com/office/word/2010/wordml" w:rsidR="00911699" w:rsidRDefault="00911699" w14:paraId="60061E4C" wp14:textId="77777777">
      <w:pPr>
        <w:ind w:left="0" w:hanging="2"/>
      </w:pPr>
    </w:p>
    <w:p xmlns:wp14="http://schemas.microsoft.com/office/word/2010/wordml" w:rsidR="00911699" w:rsidP="00E63F77" w:rsidRDefault="00E63F77" w14:paraId="50516BB5" wp14:textId="77777777">
      <w:pPr>
        <w:ind w:left="0" w:leftChars="0" w:hanging="2" w:firstLineChars="0"/>
      </w:pPr>
      <w:r>
        <w:t xml:space="preserve">1. Propiciar un acercamiento a diversas prácticas artísticas, experiencias escolares e intervenciones pedagógicas en diferentes contextos institucionales. </w:t>
      </w:r>
    </w:p>
    <w:p xmlns:wp14="http://schemas.microsoft.com/office/word/2010/wordml" w:rsidR="00911699" w:rsidP="00E63F77" w:rsidRDefault="00E63F77" w14:paraId="678BCFA2" wp14:textId="77777777">
      <w:pPr>
        <w:ind w:left="0" w:leftChars="0" w:firstLine="0" w:firstLineChars="0"/>
      </w:pPr>
      <w:r>
        <w:t xml:space="preserve">2. Construir un marco teórico-metodológico para analizar la producción de contenidos. </w:t>
      </w:r>
    </w:p>
    <w:p xmlns:wp14="http://schemas.microsoft.com/office/word/2010/wordml" w:rsidR="00911699" w:rsidP="00E63F77" w:rsidRDefault="00E63F77" w14:paraId="7922F0C8" wp14:textId="77777777">
      <w:pPr>
        <w:ind w:left="0" w:leftChars="0" w:firstLine="0" w:firstLineChars="0"/>
      </w:pPr>
      <w:r>
        <w:t>3. Analizar las fronteras entre la investigación y la intervención: experiencias escolares y narrativas audiovisuales.</w:t>
      </w:r>
    </w:p>
    <w:p xmlns:wp14="http://schemas.microsoft.com/office/word/2010/wordml" w:rsidR="00911699" w:rsidP="00E63F77" w:rsidRDefault="00E63F77" w14:paraId="5D00500F" wp14:textId="77777777">
      <w:pPr>
        <w:ind w:left="0" w:leftChars="0" w:firstLine="0" w:firstLineChars="0"/>
      </w:pPr>
      <w:r>
        <w:t>4. Procurar un acercamiento a las subjetividades que participan en la producción de experiencias de intervención en contextos diversos.</w:t>
      </w:r>
    </w:p>
    <w:p xmlns:wp14="http://schemas.microsoft.com/office/word/2010/wordml" w:rsidR="00E63F77" w:rsidP="00E63F77" w:rsidRDefault="00E63F77" w14:paraId="5B60B532" wp14:textId="77777777">
      <w:pPr>
        <w:ind w:left="0" w:leftChars="0" w:firstLine="0" w:firstLineChars="0"/>
      </w:pPr>
      <w:r>
        <w:t>5. Participar de instancias de creación de producciones diversas.</w:t>
      </w:r>
    </w:p>
    <w:p xmlns:wp14="http://schemas.microsoft.com/office/word/2010/wordml" w:rsidR="00911699" w:rsidRDefault="00911699" w14:paraId="44EAFD9C" wp14:textId="77777777">
      <w:pPr>
        <w:ind w:left="0" w:hanging="2"/>
      </w:pPr>
    </w:p>
    <w:p xmlns:wp14="http://schemas.microsoft.com/office/word/2010/wordml" w:rsidRPr="00E63F77" w:rsidR="00E63F77" w:rsidP="00E63F77" w:rsidRDefault="00E63F77" w14:paraId="267CBB99" wp14:textId="77777777">
      <w:pPr>
        <w:numPr>
          <w:ilvl w:val="2"/>
          <w:numId w:val="1"/>
        </w:numPr>
        <w:ind w:hanging="2"/>
        <w:rPr>
          <w:b/>
        </w:rPr>
      </w:pPr>
      <w:r w:rsidRPr="00E63F77">
        <w:rPr>
          <w:b/>
        </w:rPr>
        <w:t>UNIDAD 1: Caja de herramientas I: pensar la producción de contenidos.</w:t>
      </w:r>
    </w:p>
    <w:p xmlns:wp14="http://schemas.microsoft.com/office/word/2010/wordml" w:rsidRPr="00E63F77" w:rsidR="00E63F77" w:rsidP="00E63F77" w:rsidRDefault="00E63F77" w14:paraId="2139CF09" wp14:textId="77777777">
      <w:pPr>
        <w:ind w:left="0" w:hanging="2"/>
        <w:rPr>
          <w:b/>
        </w:rPr>
      </w:pPr>
      <w:r w:rsidRPr="00E63F77">
        <w:rPr>
          <w:b/>
        </w:rPr>
        <w:t>Contenidos:</w:t>
      </w:r>
    </w:p>
    <w:p xmlns:wp14="http://schemas.microsoft.com/office/word/2010/wordml" w:rsidRPr="00E63F77" w:rsidR="00E63F77" w:rsidP="00E63F77" w:rsidRDefault="00E63F77" w14:paraId="38256088" wp14:textId="77777777">
      <w:pPr>
        <w:ind w:left="0" w:hanging="2"/>
      </w:pPr>
      <w:r w:rsidRPr="00E63F77">
        <w:t xml:space="preserve">La creación/producción como problema. La imagen y la mirada. La potencia de la creación como forma de transformación. El lugar del otro. Experiencia, formación y </w:t>
      </w:r>
      <w:proofErr w:type="spellStart"/>
      <w:r w:rsidRPr="00E63F77">
        <w:t>desubjetivación</w:t>
      </w:r>
      <w:proofErr w:type="spellEnd"/>
      <w:r w:rsidRPr="00E63F77">
        <w:t>. La experiencia en el proceso de intervención/investigación. Debates, reflexiones y relatos sobre las propias experiencias de creación/producción.</w:t>
      </w:r>
    </w:p>
    <w:p xmlns:wp14="http://schemas.microsoft.com/office/word/2010/wordml" w:rsidRPr="00E63F77" w:rsidR="00E63F77" w:rsidP="00E63F77" w:rsidRDefault="00E63F77" w14:paraId="4B94D5A5" wp14:textId="77777777">
      <w:pPr>
        <w:ind w:left="0" w:hanging="2"/>
      </w:pPr>
    </w:p>
    <w:p xmlns:wp14="http://schemas.microsoft.com/office/word/2010/wordml" w:rsidRPr="00E63F77" w:rsidR="00E63F77" w:rsidP="00E63F77" w:rsidRDefault="00E63F77" w14:paraId="70C02971" wp14:textId="77777777">
      <w:pPr>
        <w:ind w:left="0" w:hanging="2"/>
        <w:rPr>
          <w:b/>
        </w:rPr>
      </w:pPr>
      <w:r w:rsidRPr="00E63F77">
        <w:rPr>
          <w:b/>
        </w:rPr>
        <w:t>Bibliografía</w:t>
      </w:r>
    </w:p>
    <w:p xmlns:wp14="http://schemas.microsoft.com/office/word/2010/wordml" w:rsidRPr="00E63F77" w:rsidR="00E63F77" w:rsidP="00E63F77" w:rsidRDefault="00E63F77" w14:paraId="35E819B3" wp14:textId="77777777">
      <w:pPr>
        <w:ind w:left="0" w:hanging="2"/>
      </w:pPr>
      <w:r w:rsidRPr="00E63F77">
        <w:t xml:space="preserve">Ahmed, S. (2017). Vivir una vida feminista. Buenos Aires: Caja Negra Editora. Parte I </w:t>
      </w:r>
    </w:p>
    <w:p xmlns:wp14="http://schemas.microsoft.com/office/word/2010/wordml" w:rsidRPr="00E63F77" w:rsidR="00E63F77" w:rsidP="00E63F77" w:rsidRDefault="00E63F77" w14:paraId="4DE07ED8" wp14:textId="77777777">
      <w:pPr>
        <w:ind w:left="0" w:hanging="2"/>
      </w:pPr>
      <w:proofErr w:type="spellStart"/>
      <w:r w:rsidRPr="00E63F77">
        <w:t>Benjamin</w:t>
      </w:r>
      <w:proofErr w:type="spellEnd"/>
      <w:r w:rsidRPr="00E63F77">
        <w:t>, W. (1973). “Experiencia y Pobreza”. En Discursos Interrumpidos. Madrid, España: Taurus.</w:t>
      </w:r>
    </w:p>
    <w:p xmlns:wp14="http://schemas.microsoft.com/office/word/2010/wordml" w:rsidRPr="00E63F77" w:rsidR="00E63F77" w:rsidP="00E63F77" w:rsidRDefault="00E63F77" w14:paraId="0B61022D" wp14:textId="77777777">
      <w:pPr>
        <w:ind w:left="0" w:hanging="2"/>
      </w:pPr>
      <w:r w:rsidRPr="00E63F77">
        <w:t xml:space="preserve">Cabrera, P. (2010). “Volver a los caminos andados”. Revista nuevas tendencias en Antropología. Nº 1. </w:t>
      </w:r>
      <w:proofErr w:type="spellStart"/>
      <w:r w:rsidRPr="00E63F77">
        <w:t>Pp</w:t>
      </w:r>
      <w:proofErr w:type="spellEnd"/>
      <w:r w:rsidRPr="00E63F77">
        <w:t xml:space="preserve"> 54-88.</w:t>
      </w:r>
    </w:p>
    <w:p xmlns:wp14="http://schemas.microsoft.com/office/word/2010/wordml" w:rsidRPr="00E63F77" w:rsidR="00E63F77" w:rsidP="00E63F77" w:rsidRDefault="00E63F77" w14:paraId="55E2A376" wp14:textId="77777777">
      <w:pPr>
        <w:ind w:left="0" w:hanging="2"/>
      </w:pPr>
      <w:proofErr w:type="spellStart"/>
      <w:r w:rsidRPr="00E63F77">
        <w:t>Deleuze</w:t>
      </w:r>
      <w:proofErr w:type="spellEnd"/>
      <w:r w:rsidRPr="00E63F77">
        <w:t>, G. ¿Qué es el Acto de Creación? Conferencia en la FEMIS. Escuela Superior de Oficios de imagen y sonido. París, 17 de marzo de 1987.</w:t>
      </w:r>
    </w:p>
    <w:p xmlns:wp14="http://schemas.microsoft.com/office/word/2010/wordml" w:rsidRPr="00E63F77" w:rsidR="00E63F77" w:rsidP="00E63F77" w:rsidRDefault="00E63F77" w14:paraId="625EA609" wp14:textId="77777777">
      <w:pPr>
        <w:ind w:left="0" w:hanging="2"/>
      </w:pPr>
      <w:proofErr w:type="spellStart"/>
      <w:r w:rsidRPr="00E63F77">
        <w:t>Didi-Huberman</w:t>
      </w:r>
      <w:proofErr w:type="spellEnd"/>
      <w:r w:rsidRPr="00E63F77">
        <w:t>, George (s/f). “Cuando las imágenes tocan lo real”. Recuperado de:</w:t>
      </w:r>
    </w:p>
    <w:p xmlns:wp14="http://schemas.microsoft.com/office/word/2010/wordml" w:rsidRPr="00E63F77" w:rsidR="00E63F77" w:rsidP="00E63F77" w:rsidRDefault="00B9298B" w14:paraId="6E0B2AF5" wp14:textId="77777777">
      <w:pPr>
        <w:ind w:left="0" w:hanging="2"/>
      </w:pPr>
      <w:hyperlink r:id="rId8">
        <w:r w:rsidRPr="00E63F77" w:rsidR="00E63F77">
          <w:rPr>
            <w:rStyle w:val="Hipervnculo"/>
          </w:rPr>
          <w:t>http://www.macba.cat/uploads/20080408/Georges_Didi_Huberman_Cuando_las_imagenes_tocan_lo_real.pdf</w:t>
        </w:r>
      </w:hyperlink>
      <w:r w:rsidRPr="00E63F77" w:rsidR="00E63F77">
        <w:t xml:space="preserve">. </w:t>
      </w:r>
    </w:p>
    <w:p xmlns:wp14="http://schemas.microsoft.com/office/word/2010/wordml" w:rsidRPr="00E63F77" w:rsidR="00E63F77" w:rsidP="00E63F77" w:rsidRDefault="00E63F77" w14:paraId="20B97C3F" wp14:textId="77777777">
      <w:pPr>
        <w:ind w:left="0" w:hanging="2"/>
      </w:pPr>
      <w:r w:rsidRPr="00E63F77">
        <w:t xml:space="preserve">Larrosa, J. y </w:t>
      </w:r>
      <w:proofErr w:type="spellStart"/>
      <w:r w:rsidRPr="00E63F77">
        <w:t>Skliar</w:t>
      </w:r>
      <w:proofErr w:type="spellEnd"/>
      <w:r w:rsidRPr="00E63F77">
        <w:t>, C. (2009) Experiencia y alteridad en educación. Homo sapiens Ediciones. Rosario. (Cap. 1)</w:t>
      </w:r>
    </w:p>
    <w:p xmlns:wp14="http://schemas.microsoft.com/office/word/2010/wordml" w:rsidRPr="00E63F77" w:rsidR="00E63F77" w:rsidP="00E63F77" w:rsidRDefault="00E63F77" w14:paraId="072B3AAE" wp14:textId="77777777">
      <w:pPr>
        <w:ind w:left="0" w:hanging="2"/>
      </w:pPr>
      <w:r w:rsidRPr="00E63F77">
        <w:t xml:space="preserve">Machado, </w:t>
      </w:r>
      <w:proofErr w:type="spellStart"/>
      <w:r w:rsidRPr="00E63F77">
        <w:t>Martiñan</w:t>
      </w:r>
      <w:proofErr w:type="spellEnd"/>
      <w:r w:rsidRPr="00E63F77">
        <w:t xml:space="preserve"> (2020) Reflexiones tensionadas. Escribir e investigar en contextos de extrema pobreza urbana. </w:t>
      </w:r>
    </w:p>
    <w:p xmlns:wp14="http://schemas.microsoft.com/office/word/2010/wordml" w:rsidRPr="00E63F77" w:rsidR="00E63F77" w:rsidP="00E63F77" w:rsidRDefault="00E63F77" w14:paraId="72B675BA" wp14:textId="77777777">
      <w:pPr>
        <w:ind w:left="0" w:hanging="2"/>
      </w:pPr>
      <w:r w:rsidRPr="00E63F77">
        <w:t>Sosa Villada, C. (2018). Entrevista por Gonzalo León. Blog Eterna Cadencia. Recuperado en:</w:t>
      </w:r>
      <w:hyperlink r:id="rId9">
        <w:r w:rsidRPr="00E63F77">
          <w:rPr>
            <w:rStyle w:val="Hipervnculo"/>
          </w:rPr>
          <w:t>https://www.eternacadencia.com.ar/blog/contenidos-originales/entrevistas/item/camila-sosa-villada-tome-conciencia-de-que-era-una-escritora-trans-con-este-libro.html</w:t>
        </w:r>
      </w:hyperlink>
    </w:p>
    <w:p xmlns:wp14="http://schemas.microsoft.com/office/word/2010/wordml" w:rsidRPr="00E63F77" w:rsidR="00E63F77" w:rsidP="00E63F77" w:rsidRDefault="00E63F77" w14:paraId="37AB881F" wp14:textId="77777777">
      <w:pPr>
        <w:ind w:left="0" w:hanging="2"/>
        <w:rPr>
          <w:u w:val="single"/>
        </w:rPr>
      </w:pPr>
      <w:proofErr w:type="spellStart"/>
      <w:r w:rsidRPr="00E63F77">
        <w:t>Trombadori</w:t>
      </w:r>
      <w:proofErr w:type="spellEnd"/>
      <w:r w:rsidRPr="00E63F77">
        <w:t xml:space="preserve"> D. (2010). Conversaciones con Foucault. Editores. Buenos Aires-Madrid.</w:t>
      </w:r>
    </w:p>
    <w:p xmlns:wp14="http://schemas.microsoft.com/office/word/2010/wordml" w:rsidRPr="00E63F77" w:rsidR="00E63F77" w:rsidP="00E63F77" w:rsidRDefault="00E63F77" w14:paraId="3DEEC669" wp14:textId="77777777">
      <w:pPr>
        <w:ind w:left="0" w:hanging="2"/>
        <w:rPr>
          <w:u w:val="single"/>
        </w:rPr>
      </w:pPr>
    </w:p>
    <w:p xmlns:wp14="http://schemas.microsoft.com/office/word/2010/wordml" w:rsidRPr="00E63F77" w:rsidR="00E63F77" w:rsidP="00E63F77" w:rsidRDefault="00E63F77" w14:paraId="1FE38048" wp14:textId="77777777">
      <w:pPr>
        <w:ind w:left="0" w:hanging="2"/>
      </w:pPr>
      <w:r w:rsidRPr="00E63F77">
        <w:rPr>
          <w:u w:val="single"/>
        </w:rPr>
        <w:t>Ampliatoria</w:t>
      </w:r>
      <w:r w:rsidRPr="00E63F77">
        <w:t>:</w:t>
      </w:r>
    </w:p>
    <w:p xmlns:wp14="http://schemas.microsoft.com/office/word/2010/wordml" w:rsidR="00E63F77" w:rsidP="00E63F77" w:rsidRDefault="00E63F77" w14:paraId="347DE45F" wp14:textId="77777777">
      <w:pPr>
        <w:ind w:left="0" w:hanging="2"/>
      </w:pPr>
      <w:proofErr w:type="spellStart"/>
      <w:r w:rsidRPr="00E63F77">
        <w:t>Fabri</w:t>
      </w:r>
      <w:proofErr w:type="spellEnd"/>
      <w:r w:rsidRPr="00E63F77">
        <w:t xml:space="preserve">, L. “Conocimiento Situado, emociones, itinerarios y etnografías cuerpo a cuerpo”. Recuperado en: </w:t>
      </w:r>
      <w:hyperlink r:id="rId10">
        <w:r w:rsidRPr="00E63F77">
          <w:rPr>
            <w:rStyle w:val="Hipervnculo"/>
          </w:rPr>
          <w:t>http://www.antropologiadelasubjetividad.com/images/trabajos/luciano_fabbri.pdf</w:t>
        </w:r>
      </w:hyperlink>
    </w:p>
    <w:p xmlns:wp14="http://schemas.microsoft.com/office/word/2010/wordml" w:rsidR="00E63F77" w:rsidP="00E63F77" w:rsidRDefault="00E63F77" w14:paraId="3656B9AB" wp14:textId="77777777">
      <w:pPr>
        <w:ind w:left="0" w:hanging="2"/>
      </w:pPr>
    </w:p>
    <w:p xmlns:wp14="http://schemas.microsoft.com/office/word/2010/wordml" w:rsidRPr="00E63F77" w:rsidR="00E63F77" w:rsidP="00E63F77" w:rsidRDefault="00E63F77" w14:paraId="2A4F8A58" wp14:textId="77777777">
      <w:pPr>
        <w:ind w:left="0" w:hanging="2"/>
        <w:rPr>
          <w:b/>
        </w:rPr>
      </w:pPr>
      <w:r w:rsidRPr="00E63F77">
        <w:rPr>
          <w:b/>
        </w:rPr>
        <w:lastRenderedPageBreak/>
        <w:t xml:space="preserve">UNIDAD 2: Caja de herramientas II: prácticas, experiencias e intervenciones pedagógicas. </w:t>
      </w:r>
    </w:p>
    <w:p xmlns:wp14="http://schemas.microsoft.com/office/word/2010/wordml" w:rsidRPr="00E63F77" w:rsidR="00E63F77" w:rsidP="00E63F77" w:rsidRDefault="00E63F77" w14:paraId="2B5D770A" wp14:textId="77777777">
      <w:pPr>
        <w:ind w:left="0" w:hanging="2"/>
        <w:rPr>
          <w:b/>
        </w:rPr>
      </w:pPr>
      <w:r w:rsidRPr="00E63F77">
        <w:rPr>
          <w:b/>
        </w:rPr>
        <w:t>Contenido:</w:t>
      </w:r>
    </w:p>
    <w:p xmlns:wp14="http://schemas.microsoft.com/office/word/2010/wordml" w:rsidRPr="00E63F77" w:rsidR="00E63F77" w:rsidP="00E63F77" w:rsidRDefault="00E63F77" w14:paraId="2A50ABD2" wp14:textId="77777777">
      <w:pPr>
        <w:ind w:left="0" w:hanging="2"/>
      </w:pPr>
      <w:r w:rsidRPr="00E63F77">
        <w:t xml:space="preserve">Debates, reflexiones y relatos sobre experiencias de intervención/producción: la creación colectiva de mapas, la producción visual y audiovisual y narrativas. </w:t>
      </w:r>
      <w:r w:rsidR="00964EBE">
        <w:t xml:space="preserve">Las posibilidades y usos de diversas herramientas para la circulación de información y generación de contenidos. </w:t>
      </w:r>
      <w:r w:rsidRPr="00E63F77">
        <w:t xml:space="preserve">Fronteras entre la investigación e intervención en las ciencias sociales y humanas. </w:t>
      </w:r>
    </w:p>
    <w:p xmlns:wp14="http://schemas.microsoft.com/office/word/2010/wordml" w:rsidRPr="00E63F77" w:rsidR="00E63F77" w:rsidP="00E63F77" w:rsidRDefault="00E63F77" w14:paraId="45FB0818" wp14:textId="77777777">
      <w:pPr>
        <w:ind w:left="0" w:hanging="2"/>
        <w:rPr>
          <w:b/>
        </w:rPr>
      </w:pPr>
    </w:p>
    <w:p xmlns:wp14="http://schemas.microsoft.com/office/word/2010/wordml" w:rsidRPr="00E63F77" w:rsidR="00E63F77" w:rsidP="00E63F77" w:rsidRDefault="00E63F77" w14:paraId="29C96D2F" wp14:textId="77777777">
      <w:pPr>
        <w:ind w:left="0" w:hanging="2"/>
        <w:rPr>
          <w:b/>
        </w:rPr>
      </w:pPr>
      <w:r w:rsidRPr="00E63F77">
        <w:rPr>
          <w:b/>
        </w:rPr>
        <w:t xml:space="preserve">Bibliografía </w:t>
      </w:r>
    </w:p>
    <w:p xmlns:wp14="http://schemas.microsoft.com/office/word/2010/wordml" w:rsidRPr="00E63F77" w:rsidR="00E63F77" w:rsidP="00E63F77" w:rsidRDefault="00E63F77" w14:paraId="475831B7" wp14:textId="77777777">
      <w:pPr>
        <w:ind w:left="0" w:hanging="2"/>
      </w:pPr>
      <w:r w:rsidRPr="00E63F77">
        <w:t xml:space="preserve">Armella, Julieta; </w:t>
      </w:r>
      <w:proofErr w:type="spellStart"/>
      <w:r w:rsidRPr="00E63F77">
        <w:t>Schwamberger</w:t>
      </w:r>
      <w:proofErr w:type="spellEnd"/>
      <w:r w:rsidRPr="00E63F77">
        <w:t xml:space="preserve">, Cintia; </w:t>
      </w:r>
      <w:proofErr w:type="spellStart"/>
      <w:r w:rsidRPr="00E63F77">
        <w:t>Dafunchio</w:t>
      </w:r>
      <w:proofErr w:type="spellEnd"/>
      <w:r w:rsidRPr="00E63F77">
        <w:t xml:space="preserve">, Sofía; </w:t>
      </w:r>
      <w:proofErr w:type="spellStart"/>
      <w:r w:rsidRPr="00E63F77">
        <w:t>Carpentieri</w:t>
      </w:r>
      <w:proofErr w:type="spellEnd"/>
      <w:r w:rsidRPr="00E63F77">
        <w:t xml:space="preserve">, </w:t>
      </w:r>
      <w:proofErr w:type="spellStart"/>
      <w:r w:rsidRPr="00E63F77">
        <w:t>Yanina</w:t>
      </w:r>
      <w:proofErr w:type="spellEnd"/>
      <w:r w:rsidRPr="00E63F77">
        <w:t xml:space="preserve"> (2019) `Experiencia y obra. La producción artística como línea de fuga” en Estética y Educación para pensar la paz. </w:t>
      </w:r>
      <w:proofErr w:type="spellStart"/>
      <w:r w:rsidRPr="00E63F77">
        <w:t>Editarial</w:t>
      </w:r>
      <w:proofErr w:type="spellEnd"/>
      <w:r w:rsidRPr="00E63F77">
        <w:t xml:space="preserve">: Universidad Pontificia Bolivariana. </w:t>
      </w:r>
    </w:p>
    <w:p xmlns:wp14="http://schemas.microsoft.com/office/word/2010/wordml" w:rsidRPr="00E63F77" w:rsidR="00E63F77" w:rsidP="00E63F77" w:rsidRDefault="00E63F77" w14:paraId="1387694A" wp14:textId="77777777">
      <w:pPr>
        <w:ind w:left="0" w:hanging="2"/>
      </w:pPr>
      <w:proofErr w:type="spellStart"/>
      <w:r w:rsidRPr="00E63F77">
        <w:t>Dussel</w:t>
      </w:r>
      <w:proofErr w:type="spellEnd"/>
      <w:r w:rsidRPr="00E63F77">
        <w:t xml:space="preserve"> I. (2006) Educar la mirada. Reflexiones sobre una experiencia de producción audiovisual y de formación docente.</w:t>
      </w:r>
    </w:p>
    <w:p xmlns:wp14="http://schemas.microsoft.com/office/word/2010/wordml" w:rsidRPr="00E63F77" w:rsidR="00E63F77" w:rsidP="00E63F77" w:rsidRDefault="00E63F77" w14:paraId="0734E3DD" wp14:textId="77777777">
      <w:pPr>
        <w:ind w:left="0" w:hanging="2"/>
      </w:pPr>
      <w:proofErr w:type="spellStart"/>
      <w:r w:rsidRPr="00E63F77">
        <w:t>Frejman</w:t>
      </w:r>
      <w:proofErr w:type="spellEnd"/>
      <w:r w:rsidRPr="00E63F77">
        <w:t xml:space="preserve">, F (1 de septiembre, 2019). La sociedad contra el margen. Desigualdades, acoso policial y estigmas vistos desde la escuela pública. Recuperado de </w:t>
      </w:r>
      <w:hyperlink r:id="rId11">
        <w:r w:rsidRPr="00E63F77">
          <w:rPr>
            <w:rStyle w:val="Hipervnculo"/>
          </w:rPr>
          <w:t>https://www.elcohetealaluna.com/la-sociedad-contra-el-margen/</w:t>
        </w:r>
      </w:hyperlink>
      <w:r w:rsidRPr="00E63F77">
        <w:t xml:space="preserve">   </w:t>
      </w:r>
    </w:p>
    <w:p xmlns:wp14="http://schemas.microsoft.com/office/word/2010/wordml" w:rsidRPr="00E63F77" w:rsidR="00E63F77" w:rsidP="00E63F77" w:rsidRDefault="00E63F77" w14:paraId="221733BF" wp14:textId="77777777">
      <w:pPr>
        <w:ind w:left="0" w:hanging="2"/>
      </w:pPr>
      <w:proofErr w:type="spellStart"/>
      <w:r w:rsidRPr="00E63F77">
        <w:t>Gaitan</w:t>
      </w:r>
      <w:proofErr w:type="spellEnd"/>
      <w:r w:rsidRPr="00E63F77">
        <w:t xml:space="preserve">, C., Medan, M., </w:t>
      </w:r>
      <w:proofErr w:type="spellStart"/>
      <w:r w:rsidRPr="00E63F77">
        <w:t>Llobet</w:t>
      </w:r>
      <w:proofErr w:type="spellEnd"/>
      <w:r w:rsidRPr="00E63F77">
        <w:t>, V., (2015).  “¿Alguien por casualidad quiere decir algo?” Reflexiones sobre las interpretaciones de los silencios en programas de inclusión para jóvenes. Revista Servicios Sociales y Política Social, Nro. 107. Consejo General del Trabajo Social, Madrid, España.</w:t>
      </w:r>
    </w:p>
    <w:p xmlns:wp14="http://schemas.microsoft.com/office/word/2010/wordml" w:rsidRPr="00E63F77" w:rsidR="00E63F77" w:rsidP="00E63F77" w:rsidRDefault="00E63F77" w14:paraId="5CCC6FA4" wp14:textId="77777777">
      <w:pPr>
        <w:ind w:left="0" w:hanging="2"/>
      </w:pPr>
      <w:proofErr w:type="spellStart"/>
      <w:r w:rsidRPr="00E63F77">
        <w:t>Langer</w:t>
      </w:r>
      <w:proofErr w:type="spellEnd"/>
      <w:r w:rsidRPr="00E63F77">
        <w:t xml:space="preserve">, E., Hidalgo, J. y </w:t>
      </w:r>
      <w:proofErr w:type="spellStart"/>
      <w:r w:rsidRPr="00E63F77">
        <w:t>Diosques</w:t>
      </w:r>
      <w:proofErr w:type="spellEnd"/>
      <w:r w:rsidRPr="00E63F77">
        <w:t xml:space="preserve">, G. (2020). Ahora les toca a ustedes. Defensas, luchas y posibilidades de estudiantes y docentes en tiempos de crisis. En  </w:t>
      </w:r>
      <w:r w:rsidRPr="00E63F77">
        <w:rPr>
          <w:i/>
        </w:rPr>
        <w:t>HS- Horizontes Sociológicos,</w:t>
      </w:r>
      <w:r w:rsidRPr="00E63F77">
        <w:t xml:space="preserve"> </w:t>
      </w:r>
      <w:r w:rsidRPr="00E63F77">
        <w:rPr>
          <w:i/>
        </w:rPr>
        <w:t>Nº 7  Año 2020</w:t>
      </w:r>
      <w:r w:rsidRPr="00E63F77">
        <w:t>, Enero-Diciembre, pp. 93-106.</w:t>
      </w:r>
    </w:p>
    <w:p xmlns:wp14="http://schemas.microsoft.com/office/word/2010/wordml" w:rsidR="00E63F77" w:rsidP="00E63F77" w:rsidRDefault="00E63F77" w14:paraId="7FCF6C4F" wp14:textId="77777777">
      <w:pPr>
        <w:ind w:left="0" w:hanging="2"/>
      </w:pPr>
      <w:r w:rsidRPr="00E63F77">
        <w:t xml:space="preserve">Montoya  Arango, V., García </w:t>
      </w:r>
      <w:proofErr w:type="spellStart"/>
      <w:r w:rsidRPr="00E63F77">
        <w:t>Sànchez</w:t>
      </w:r>
      <w:proofErr w:type="spellEnd"/>
      <w:r w:rsidRPr="00E63F77">
        <w:t>, A., Ospina Mesa, C. (2013). “Andar dibujando y dibujar andando: cartografía social y producción colectiva de conocimientos” Nómadas 40 | abril de 2013 | universidad central | Colombia.</w:t>
      </w:r>
    </w:p>
    <w:p xmlns:wp14="http://schemas.microsoft.com/office/word/2010/wordml" w:rsidRPr="00E63F77" w:rsidR="00E63F77" w:rsidP="00E63F77" w:rsidRDefault="00E63F77" w14:paraId="049F31CB" wp14:textId="77777777">
      <w:pPr>
        <w:ind w:left="0" w:hanging="2"/>
      </w:pPr>
    </w:p>
    <w:p xmlns:wp14="http://schemas.microsoft.com/office/word/2010/wordml" w:rsidR="00E63F77" w:rsidP="00E63F77" w:rsidRDefault="00E63F77" w14:paraId="53128261" wp14:textId="77777777">
      <w:pPr>
        <w:ind w:left="0" w:hanging="2"/>
      </w:pPr>
    </w:p>
    <w:p xmlns:wp14="http://schemas.microsoft.com/office/word/2010/wordml" w:rsidR="00911699" w:rsidRDefault="00E63F77" w14:paraId="2E678375" wp14:textId="77777777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</w:rPr>
      </w:pPr>
      <w:r>
        <w:rPr>
          <w:b/>
          <w:i/>
          <w:color w:val="000000"/>
        </w:rPr>
        <w:t>Bibliografía general</w:t>
      </w:r>
    </w:p>
    <w:p xmlns:wp14="http://schemas.microsoft.com/office/word/2010/wordml" w:rsidR="00911699" w:rsidRDefault="00E63F77" w14:paraId="61E11FEB" wp14:textId="77777777">
      <w:pPr>
        <w:ind w:left="0" w:hanging="2"/>
      </w:pPr>
      <w:r>
        <w:t>A</w:t>
      </w:r>
      <w:r>
        <w:rPr>
          <w:highlight w:val="white"/>
        </w:rPr>
        <w:t xml:space="preserve">rmella, Julieta; </w:t>
      </w:r>
      <w:proofErr w:type="spellStart"/>
      <w:r>
        <w:rPr>
          <w:highlight w:val="white"/>
        </w:rPr>
        <w:t>Schwamberger</w:t>
      </w:r>
      <w:proofErr w:type="spellEnd"/>
      <w:r>
        <w:rPr>
          <w:highlight w:val="white"/>
        </w:rPr>
        <w:t xml:space="preserve">, Cintia; </w:t>
      </w:r>
      <w:proofErr w:type="spellStart"/>
      <w:r>
        <w:rPr>
          <w:highlight w:val="white"/>
        </w:rPr>
        <w:t>Dafunchio</w:t>
      </w:r>
      <w:proofErr w:type="spellEnd"/>
      <w:r>
        <w:rPr>
          <w:highlight w:val="white"/>
        </w:rPr>
        <w:t xml:space="preserve">, Sofía; </w:t>
      </w:r>
      <w:proofErr w:type="spellStart"/>
      <w:r>
        <w:rPr>
          <w:highlight w:val="white"/>
        </w:rPr>
        <w:t>Carpentieri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Yanina</w:t>
      </w:r>
      <w:proofErr w:type="spellEnd"/>
      <w:r>
        <w:rPr>
          <w:highlight w:val="white"/>
        </w:rPr>
        <w:t xml:space="preserve"> (2019) `Experiencia y obra. La producción artística como línea de fuga” en</w:t>
      </w:r>
      <w:r>
        <w:t xml:space="preserve"> Estética y Educación para pensar la paz. </w:t>
      </w:r>
      <w:proofErr w:type="spellStart"/>
      <w:r>
        <w:t>Editarial</w:t>
      </w:r>
      <w:proofErr w:type="spellEnd"/>
      <w:r>
        <w:t xml:space="preserve">: Universidad Pontificia Bolivariana. </w:t>
      </w:r>
    </w:p>
    <w:p xmlns:wp14="http://schemas.microsoft.com/office/word/2010/wordml" w:rsidR="00911699" w:rsidRDefault="00E63F77" w14:paraId="0C7F6918" wp14:textId="77777777">
      <w:pPr>
        <w:ind w:left="0" w:hanging="2"/>
        <w:rPr>
          <w:sz w:val="22"/>
          <w:szCs w:val="22"/>
        </w:rPr>
      </w:pPr>
      <w:r>
        <w:t xml:space="preserve">Ahmed, S. (2017). </w:t>
      </w:r>
      <w:r>
        <w:rPr>
          <w:sz w:val="22"/>
          <w:szCs w:val="22"/>
        </w:rPr>
        <w:t xml:space="preserve">Vivir una vida feminista. Buenos Aires: Caja Negra Editora. Parte I </w:t>
      </w:r>
    </w:p>
    <w:p xmlns:wp14="http://schemas.microsoft.com/office/word/2010/wordml" w:rsidR="00911699" w:rsidRDefault="00E63F77" w14:paraId="076A1CB1" wp14:textId="77777777">
      <w:pPr>
        <w:ind w:left="0" w:hanging="2"/>
        <w:jc w:val="left"/>
      </w:pPr>
      <w:proofErr w:type="spellStart"/>
      <w:r>
        <w:t>Benjamin</w:t>
      </w:r>
      <w:proofErr w:type="spellEnd"/>
      <w:r>
        <w:t>, W. (1973). “Experiencia y Pobreza”. En Discursos Interrumpidos. Madrid, España: Taurus.</w:t>
      </w:r>
    </w:p>
    <w:p xmlns:wp14="http://schemas.microsoft.com/office/word/2010/wordml" w:rsidR="00911699" w:rsidRDefault="00E63F77" w14:paraId="10C3AA3C" wp14:textId="77777777">
      <w:pPr>
        <w:ind w:left="0" w:hanging="2"/>
        <w:jc w:val="left"/>
      </w:pPr>
      <w:r>
        <w:t xml:space="preserve">Cabrera, P. (2010). “Volver a los caminos andados”. Revista nuevas tendencias en Antropología. Nº 1. </w:t>
      </w:r>
      <w:proofErr w:type="spellStart"/>
      <w:r>
        <w:t>Pp</w:t>
      </w:r>
      <w:proofErr w:type="spellEnd"/>
      <w:r>
        <w:t xml:space="preserve"> 54-88.</w:t>
      </w:r>
    </w:p>
    <w:p xmlns:wp14="http://schemas.microsoft.com/office/word/2010/wordml" w:rsidR="00911699" w:rsidRDefault="00E63F77" w14:paraId="17D9E1D2" wp14:textId="77777777">
      <w:pPr>
        <w:ind w:left="0" w:hanging="2"/>
        <w:rPr>
          <w:sz w:val="26"/>
          <w:szCs w:val="26"/>
        </w:rPr>
      </w:pPr>
      <w:proofErr w:type="spellStart"/>
      <w:r>
        <w:t>Deleuze</w:t>
      </w:r>
      <w:proofErr w:type="spellEnd"/>
      <w:r>
        <w:t>, G. ¿Qué es el Acto de Creación? Conferencia en la FEMIS. Escuela Superior de Oficios de imagen y sonido. París, 17 de marzo de 1987</w:t>
      </w:r>
      <w:r>
        <w:rPr>
          <w:sz w:val="26"/>
          <w:szCs w:val="26"/>
        </w:rPr>
        <w:t>.</w:t>
      </w:r>
    </w:p>
    <w:p xmlns:wp14="http://schemas.microsoft.com/office/word/2010/wordml" w:rsidR="00911699" w:rsidRDefault="00E63F77" w14:paraId="10D01173" wp14:textId="77777777">
      <w:pPr>
        <w:ind w:left="0" w:hanging="2"/>
        <w:jc w:val="left"/>
      </w:pPr>
      <w:proofErr w:type="spellStart"/>
      <w:r>
        <w:t>Didi-Huberman</w:t>
      </w:r>
      <w:proofErr w:type="spellEnd"/>
      <w:r>
        <w:t>, George (s/f). “Cuando las imágenes tocan lo real”. Recuperado de:</w:t>
      </w:r>
    </w:p>
    <w:p xmlns:wp14="http://schemas.microsoft.com/office/word/2010/wordml" w:rsidR="00911699" w:rsidRDefault="00B9298B" w14:paraId="314DAD97" wp14:textId="77777777">
      <w:pPr>
        <w:ind w:left="0" w:hanging="2"/>
        <w:jc w:val="left"/>
      </w:pPr>
      <w:hyperlink r:id="rId12">
        <w:r w:rsidR="00E63F77">
          <w:rPr>
            <w:color w:val="0563C1"/>
            <w:u w:val="single"/>
          </w:rPr>
          <w:t>http://www.macba.cat/uploads/20080408/Georges_Didi_Huberman_Cuando_las_imagenes_tocan_lo_real.pdf</w:t>
        </w:r>
      </w:hyperlink>
      <w:r w:rsidR="00E63F77">
        <w:t xml:space="preserve">. </w:t>
      </w:r>
    </w:p>
    <w:p xmlns:wp14="http://schemas.microsoft.com/office/word/2010/wordml" w:rsidR="00911699" w:rsidRDefault="00E63F77" w14:paraId="57E354F8" wp14:textId="77777777">
      <w:pPr>
        <w:ind w:left="0" w:hanging="2"/>
      </w:pPr>
      <w:proofErr w:type="spellStart"/>
      <w:r>
        <w:t>Dussel</w:t>
      </w:r>
      <w:proofErr w:type="spellEnd"/>
      <w:r>
        <w:t xml:space="preserve"> I. (2006) </w:t>
      </w:r>
      <w:r>
        <w:rPr>
          <w:highlight w:val="white"/>
        </w:rPr>
        <w:t>Educar la mirada. Reflexiones sobre una experiencia de producción audiovisual y de formación docente.</w:t>
      </w:r>
    </w:p>
    <w:p xmlns:wp14="http://schemas.microsoft.com/office/word/2010/wordml" w:rsidR="00911699" w:rsidRDefault="00E63F77" w14:paraId="5D514392" wp14:textId="77777777">
      <w:pPr>
        <w:ind w:left="0" w:hanging="2"/>
        <w:jc w:val="left"/>
      </w:pPr>
      <w:proofErr w:type="spellStart"/>
      <w:r>
        <w:lastRenderedPageBreak/>
        <w:t>Fabri</w:t>
      </w:r>
      <w:proofErr w:type="spellEnd"/>
      <w:r>
        <w:t xml:space="preserve">, L. “Conocimiento Situado, emociones, itinerarios y etnografías cuerpo a cuerpo”. Recuperado en: </w:t>
      </w:r>
      <w:hyperlink r:id="rId13">
        <w:r>
          <w:rPr>
            <w:color w:val="1155CC"/>
            <w:u w:val="single"/>
          </w:rPr>
          <w:t>http://www.antropologiadelasubjetividad.com/images/trabajos/luciano_fabbri.pdf</w:t>
        </w:r>
      </w:hyperlink>
    </w:p>
    <w:p xmlns:wp14="http://schemas.microsoft.com/office/word/2010/wordml" w:rsidR="00911699" w:rsidRDefault="00E63F77" w14:paraId="6F4E3E3B" wp14:textId="77777777">
      <w:pPr>
        <w:ind w:left="0" w:hanging="2"/>
      </w:pPr>
      <w:proofErr w:type="spellStart"/>
      <w:r>
        <w:t>Frejman</w:t>
      </w:r>
      <w:proofErr w:type="spellEnd"/>
      <w:r>
        <w:t xml:space="preserve">, F (1 de septiembre, 2019). La sociedad contra el margen. Desigualdades, acoso policial y estigmas vistos desde la escuela pública. Recuperado de </w:t>
      </w:r>
      <w:hyperlink r:id="rId14">
        <w:r>
          <w:rPr>
            <w:color w:val="1155CC"/>
            <w:u w:val="single"/>
          </w:rPr>
          <w:t>https://www.elcohetealaluna.com/la-sociedad-contra-el-margen/</w:t>
        </w:r>
      </w:hyperlink>
      <w:r>
        <w:t xml:space="preserve">   </w:t>
      </w:r>
    </w:p>
    <w:p xmlns:wp14="http://schemas.microsoft.com/office/word/2010/wordml" w:rsidR="00911699" w:rsidRDefault="00E63F77" w14:paraId="218C0691" wp14:textId="77777777">
      <w:pPr>
        <w:ind w:left="0" w:hanging="2"/>
        <w:jc w:val="left"/>
      </w:pPr>
      <w:proofErr w:type="spellStart"/>
      <w:r>
        <w:t>Gaitan</w:t>
      </w:r>
      <w:proofErr w:type="spellEnd"/>
      <w:r>
        <w:t xml:space="preserve">, C., Medan, M., </w:t>
      </w:r>
      <w:proofErr w:type="spellStart"/>
      <w:r>
        <w:t>Llobet</w:t>
      </w:r>
      <w:proofErr w:type="spellEnd"/>
      <w:r>
        <w:t>, V., (2015).  “¿Alguien por casualidad quiere decir algo?” Reflexiones sobre las interpretaciones de los silencios en programas de inclusión para jóvenes. Revista Servicios Sociales y Política Social, Nro. 107. Consejo General del Trabajo Social, Madrid, España.</w:t>
      </w:r>
    </w:p>
    <w:p xmlns:wp14="http://schemas.microsoft.com/office/word/2010/wordml" w:rsidR="00911699" w:rsidRDefault="00E63F77" w14:paraId="1E7AC396" wp14:textId="77777777">
      <w:pPr>
        <w:ind w:left="0" w:hanging="2"/>
      </w:pPr>
      <w:proofErr w:type="spellStart"/>
      <w:r>
        <w:t>Langer</w:t>
      </w:r>
      <w:proofErr w:type="spellEnd"/>
      <w:r>
        <w:t xml:space="preserve">, E., Hidalgo, J. y </w:t>
      </w:r>
      <w:proofErr w:type="spellStart"/>
      <w:r>
        <w:t>Diosques</w:t>
      </w:r>
      <w:proofErr w:type="spellEnd"/>
      <w:r>
        <w:t xml:space="preserve">, G. (2020). Ahora les toca a ustedes. Defensas, luchas y posibilidades de estudiantes y docentes en tiempos de crisis. En  </w:t>
      </w:r>
      <w:r>
        <w:rPr>
          <w:i/>
        </w:rPr>
        <w:t>HS- Horizontes Sociológicos,</w:t>
      </w:r>
      <w:r>
        <w:t xml:space="preserve"> </w:t>
      </w:r>
      <w:r>
        <w:rPr>
          <w:i/>
        </w:rPr>
        <w:t>Nº 7  Año 2020</w:t>
      </w:r>
      <w:r>
        <w:t>, Enero-Diciembre, pp. 93-106.</w:t>
      </w:r>
    </w:p>
    <w:p xmlns:wp14="http://schemas.microsoft.com/office/word/2010/wordml" w:rsidR="00911699" w:rsidRDefault="00E63F77" w14:paraId="282E3685" wp14:textId="77777777">
      <w:pPr>
        <w:ind w:left="0" w:hanging="2"/>
        <w:jc w:val="left"/>
      </w:pPr>
      <w:r>
        <w:t xml:space="preserve">Larrosa, J. y </w:t>
      </w:r>
      <w:proofErr w:type="spellStart"/>
      <w:r>
        <w:t>Skliar</w:t>
      </w:r>
      <w:proofErr w:type="spellEnd"/>
      <w:r>
        <w:t>, C. (2009) Experiencia y alteridad en educación. Homo sapiens Ediciones. Rosario. (Cap. 1)</w:t>
      </w:r>
    </w:p>
    <w:p xmlns:wp14="http://schemas.microsoft.com/office/word/2010/wordml" w:rsidR="00911699" w:rsidRDefault="00E63F77" w14:paraId="0C0EE182" wp14:textId="77777777">
      <w:pPr>
        <w:ind w:left="0" w:hanging="2"/>
        <w:jc w:val="left"/>
        <w:rPr>
          <w:highlight w:val="white"/>
        </w:rPr>
      </w:pPr>
      <w:r>
        <w:rPr>
          <w:highlight w:val="white"/>
        </w:rPr>
        <w:t xml:space="preserve">Machado, </w:t>
      </w:r>
      <w:proofErr w:type="spellStart"/>
      <w:r>
        <w:rPr>
          <w:highlight w:val="white"/>
        </w:rPr>
        <w:t>Martiñan</w:t>
      </w:r>
      <w:proofErr w:type="spellEnd"/>
      <w:r>
        <w:rPr>
          <w:highlight w:val="white"/>
        </w:rPr>
        <w:t xml:space="preserve"> (2020) Reflexiones tensionadas. Escribir e investigar en contextos de extrema pobreza urbana. </w:t>
      </w:r>
    </w:p>
    <w:p xmlns:wp14="http://schemas.microsoft.com/office/word/2010/wordml" w:rsidR="00911699" w:rsidRDefault="00E63F77" w14:paraId="74FA7E21" wp14:textId="77777777">
      <w:pPr>
        <w:ind w:left="0" w:hanging="2"/>
      </w:pPr>
      <w:r>
        <w:t xml:space="preserve">Montoya Arango, V., García </w:t>
      </w:r>
      <w:proofErr w:type="spellStart"/>
      <w:r>
        <w:t>Sànchez</w:t>
      </w:r>
      <w:proofErr w:type="spellEnd"/>
      <w:r>
        <w:t>, A., Ospina Mesa, C. (2013). “Andar dibujando y dibujar andando: cartografía social y producción colectiva de conocimientos” Nómadas 40 | abril de 2013 | universidad central | Colombia.</w:t>
      </w:r>
    </w:p>
    <w:p xmlns:wp14="http://schemas.microsoft.com/office/word/2010/wordml" w:rsidR="00911699" w:rsidRDefault="00E63F77" w14:paraId="359F6238" wp14:textId="77777777">
      <w:pPr>
        <w:spacing w:line="276" w:lineRule="auto"/>
        <w:ind w:left="0" w:hanging="2"/>
        <w:jc w:val="left"/>
      </w:pPr>
      <w:r>
        <w:t>Sosa Villada, C. (2018). Entrevista por Gonzalo León. Blog Eterna Cadencia. Recuperado en:</w:t>
      </w:r>
      <w:hyperlink r:id="rId15">
        <w:r>
          <w:rPr>
            <w:color w:val="1155CC"/>
            <w:u w:val="single"/>
          </w:rPr>
          <w:t>https://www.eternacadencia.com.ar/blog/contenidos-originales/entrevistas/item/camila-sosa-villada-tome-conciencia-de-que-era-una-escritora-trans-con-este-libro.html</w:t>
        </w:r>
      </w:hyperlink>
    </w:p>
    <w:p xmlns:wp14="http://schemas.microsoft.com/office/word/2010/wordml" w:rsidR="00911699" w:rsidRDefault="00E63F77" w14:paraId="51925A5A" wp14:textId="77777777">
      <w:pPr>
        <w:spacing w:line="276" w:lineRule="auto"/>
        <w:ind w:left="0" w:hanging="2"/>
        <w:jc w:val="left"/>
      </w:pPr>
      <w:proofErr w:type="spellStart"/>
      <w:r>
        <w:t>Trombadori</w:t>
      </w:r>
      <w:proofErr w:type="spellEnd"/>
      <w:r>
        <w:t xml:space="preserve"> D. (2010). Conversaciones con Foucault. Editores. Buenos Aires-Madrid. </w:t>
      </w:r>
    </w:p>
    <w:p xmlns:wp14="http://schemas.microsoft.com/office/word/2010/wordml" w:rsidR="00E63F77" w:rsidRDefault="00E63F77" w14:paraId="62486C05" wp14:textId="77777777">
      <w:pPr>
        <w:tabs>
          <w:tab w:val="left" w:pos="708"/>
        </w:tabs>
        <w:ind w:left="0" w:hanging="2"/>
      </w:pPr>
    </w:p>
    <w:p xmlns:wp14="http://schemas.microsoft.com/office/word/2010/wordml" w:rsidR="00911699" w:rsidRDefault="00E63F77" w14:paraId="6A445C1C" wp14:textId="77777777">
      <w:pPr>
        <w:ind w:left="0" w:hanging="2"/>
        <w:rPr>
          <w:b/>
          <w:i/>
        </w:rPr>
      </w:pPr>
      <w:r>
        <w:rPr>
          <w:b/>
          <w:i/>
        </w:rPr>
        <w:t xml:space="preserve">Modalidad docente </w:t>
      </w:r>
    </w:p>
    <w:p xmlns:wp14="http://schemas.microsoft.com/office/word/2010/wordml" w:rsidR="00911699" w:rsidRDefault="00E63F77" w14:paraId="1D1FFCB9" wp14:textId="77777777">
      <w:pPr>
        <w:ind w:left="0" w:hanging="2"/>
      </w:pPr>
      <w:r>
        <w:t xml:space="preserve">La propuesta se desarrolla abordando los contenidos del programa a través de actividades con una modalidad de aula- taller. </w:t>
      </w:r>
    </w:p>
    <w:p xmlns:wp14="http://schemas.microsoft.com/office/word/2010/wordml" w:rsidR="00911699" w:rsidRDefault="00911699" w14:paraId="4101652C" wp14:textId="77777777">
      <w:pPr>
        <w:ind w:left="0" w:hanging="2"/>
      </w:pPr>
    </w:p>
    <w:p xmlns:wp14="http://schemas.microsoft.com/office/word/2010/wordml" w:rsidR="00911699" w:rsidRDefault="00E63F77" w14:paraId="48D1AF1E" wp14:textId="77777777">
      <w:pPr>
        <w:ind w:left="0" w:hanging="2"/>
      </w:pPr>
      <w:r>
        <w:t xml:space="preserve">Durante las clases se realizarán los siguientes espacios:   </w:t>
      </w:r>
    </w:p>
    <w:p xmlns:wp14="http://schemas.microsoft.com/office/word/2010/wordml" w:rsidR="00911699" w:rsidRDefault="00911699" w14:paraId="4B99056E" wp14:textId="77777777">
      <w:pPr>
        <w:ind w:left="0" w:hanging="2"/>
      </w:pPr>
    </w:p>
    <w:p xmlns:wp14="http://schemas.microsoft.com/office/word/2010/wordml" w:rsidR="00911699" w:rsidRDefault="00E63F77" w14:paraId="3E87B6AE" wp14:textId="77777777">
      <w:pPr>
        <w:ind w:left="0" w:hanging="2"/>
      </w:pPr>
      <w:r>
        <w:t xml:space="preserve">Mateada virtual: espacio orientado a ofrecer estrategias de lectura de los textos. </w:t>
      </w:r>
    </w:p>
    <w:p xmlns:wp14="http://schemas.microsoft.com/office/word/2010/wordml" w:rsidR="00911699" w:rsidRDefault="00E63F77" w14:paraId="15F5B6AA" wp14:textId="77777777">
      <w:pPr>
        <w:ind w:left="0" w:hanging="2"/>
      </w:pPr>
      <w:r>
        <w:t>Talleres de reflexión oral: destinados a presentar en diversos formatos los contenidos seleccionados en el seminario para revisar experiencias/producciones. Algunas posibles son:</w:t>
      </w:r>
    </w:p>
    <w:p xmlns:wp14="http://schemas.microsoft.com/office/word/2010/wordml" w:rsidR="00911699" w:rsidRDefault="00E63F77" w14:paraId="513BB2E8" wp14:textId="77777777">
      <w:pPr>
        <w:ind w:left="0" w:hanging="2"/>
      </w:pPr>
      <w:r>
        <w:t>Talleres de producción: dirigidos a brindar instrumentos para el desarrollo creativo de experiencias y contenidos propios (nuevos o en curso).</w:t>
      </w:r>
    </w:p>
    <w:p xmlns:wp14="http://schemas.microsoft.com/office/word/2010/wordml" w:rsidR="00911699" w:rsidRDefault="00911699" w14:paraId="1299C43A" wp14:textId="77777777">
      <w:pPr>
        <w:ind w:left="0" w:hanging="2"/>
      </w:pPr>
    </w:p>
    <w:p xmlns:wp14="http://schemas.microsoft.com/office/word/2010/wordml" w:rsidR="00911699" w:rsidRDefault="00E63F77" w14:paraId="108317B6" wp14:textId="7777777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rPr>
          <w:b/>
          <w:i/>
          <w:color w:val="000000"/>
        </w:rPr>
      </w:pPr>
      <w:r>
        <w:rPr>
          <w:b/>
          <w:i/>
          <w:color w:val="000000"/>
        </w:rPr>
        <w:t>Formas de evaluación</w:t>
      </w:r>
    </w:p>
    <w:p xmlns:wp14="http://schemas.microsoft.com/office/word/2010/wordml" w:rsidR="00911699" w:rsidRDefault="00E63F77" w14:paraId="4AE3D0E6" wp14:textId="77777777">
      <w:pPr>
        <w:ind w:left="0" w:hanging="2"/>
      </w:pPr>
      <w:r>
        <w:t>Serán a través de tres instancias: la participación en foros o mateada virtual, la entrega de avances del proyecto  y la presentación del proyecto de intervención.</w:t>
      </w:r>
    </w:p>
    <w:p xmlns:wp14="http://schemas.microsoft.com/office/word/2010/wordml" w:rsidR="00911699" w:rsidRDefault="00E63F77" w14:paraId="099131C6" wp14:textId="77777777">
      <w:pPr>
        <w:ind w:left="0" w:hanging="2"/>
      </w:pPr>
      <w:r>
        <w:t xml:space="preserve">La evaluación se basará en la participación en las actividades clase, los avances y entrega del proyecto de intervención. A la vez, en el control de actividades se evaluará </w:t>
      </w:r>
      <w:r>
        <w:lastRenderedPageBreak/>
        <w:t xml:space="preserve">la capacidad de reflexión crítica de los conceptos desarrollados por las y los autores propuestos.  En la participación en las instancias de intercambios se evaluará como los/as/es estudiantes se involucran en la clase, en la discusión de los temas y en el intercambio con los demás colegas. Se espera que las /los/es estudiantes participen habiendo leído la bibliografía asignada a cada instancia, indispensable para la participación en la misma. </w:t>
      </w:r>
    </w:p>
    <w:p xmlns:wp14="http://schemas.microsoft.com/office/word/2010/wordml" w:rsidR="00911699" w:rsidRDefault="00911699" w14:paraId="4DDBEF00" wp14:textId="77777777">
      <w:pPr>
        <w:ind w:left="0" w:hanging="2"/>
      </w:pPr>
    </w:p>
    <w:p xmlns:wp14="http://schemas.microsoft.com/office/word/2010/wordml" w:rsidR="00911699" w:rsidRDefault="00E63F77" w14:paraId="6DEB6201" wp14:textId="7777777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rPr>
          <w:b/>
          <w:i/>
          <w:color w:val="000000"/>
        </w:rPr>
      </w:pPr>
      <w:r>
        <w:rPr>
          <w:b/>
          <w:i/>
          <w:color w:val="000000"/>
        </w:rPr>
        <w:t>Requisitos para la aprobación del seminario</w:t>
      </w:r>
    </w:p>
    <w:p xmlns:wp14="http://schemas.microsoft.com/office/word/2010/wordml" w:rsidR="00911699" w:rsidRDefault="00E63F77" w14:paraId="3D9192B4" wp14:textId="77777777">
      <w:pPr>
        <w:ind w:left="0" w:hanging="2"/>
      </w:pPr>
      <w:r>
        <w:t xml:space="preserve">. Cumplimentar con los requisitos propios del posgrado: regularidad y asistencia según lo establecido por la facultad. </w:t>
      </w:r>
    </w:p>
    <w:p xmlns:wp14="http://schemas.microsoft.com/office/word/2010/wordml" w:rsidR="00911699" w:rsidRDefault="00E63F77" w14:paraId="48F9A42A" wp14:textId="77777777">
      <w:pPr>
        <w:ind w:left="0" w:hanging="2"/>
      </w:pPr>
      <w:r>
        <w:t>. Aprobación del proyecto de intervención.</w:t>
      </w:r>
    </w:p>
    <w:p xmlns:wp14="http://schemas.microsoft.com/office/word/2010/wordml" w:rsidR="00911699" w:rsidRDefault="00911699" w14:paraId="3461D779" wp14:textId="77777777">
      <w:pPr>
        <w:ind w:left="0" w:hanging="2"/>
        <w:jc w:val="left"/>
      </w:pPr>
    </w:p>
    <w:p xmlns:wp14="http://schemas.microsoft.com/office/word/2010/wordml" w:rsidR="00911699" w:rsidRDefault="00911699" w14:paraId="3CF2D8B6" wp14:textId="77777777">
      <w:pPr>
        <w:ind w:left="0" w:hanging="2"/>
        <w:jc w:val="left"/>
      </w:pPr>
      <w:bookmarkStart w:name="_GoBack" w:id="0"/>
      <w:bookmarkEnd w:id="0"/>
    </w:p>
    <w:sectPr w:rsidR="00911699">
      <w:pgSz w:w="11906" w:h="16838" w:orient="portrait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3CE"/>
    <w:multiLevelType w:val="multilevel"/>
    <w:tmpl w:val="FBD4A882"/>
    <w:lvl w:ilvl="0">
      <w:start w:val="1"/>
      <w:numFmt w:val="bullet"/>
      <w:pStyle w:val="Ttulo1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Ttulo8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pStyle w:val="Ttulo9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2DE3B32"/>
    <w:multiLevelType w:val="hybridMultilevel"/>
    <w:tmpl w:val="6C546E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FF1104B"/>
    <w:multiLevelType w:val="multilevel"/>
    <w:tmpl w:val="8C505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9"/>
    <w:rsid w:val="0062731D"/>
    <w:rsid w:val="00911699"/>
    <w:rsid w:val="009433D4"/>
    <w:rsid w:val="00964EBE"/>
    <w:rsid w:val="00B9298B"/>
    <w:rsid w:val="00E63F77"/>
    <w:rsid w:val="00E95CB0"/>
    <w:rsid w:val="43A6FAA9"/>
    <w:rsid w:val="47DE1779"/>
    <w:rsid w:val="727DD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D550"/>
  <w15:docId w15:val="{BF7A4281-67A6-4B94-9669-4C20B7973C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4"/>
        <w:szCs w:val="24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  <w:jc w:val="center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eastAsia="Times New Roman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hAnsi="Cambria" w:eastAsia="Times New Roman" w:cs="Cambria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3" w:customStyle="1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2" w:customStyle="1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Caracteresdenotaalpie" w:customStyle="1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styleId="Refdenotaalpie1" w:customStyle="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styleId="Caracteresdenotafinal" w:customStyle="1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styleId="WW-Caracteresdenotafinal" w:customStyle="1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styleId="Vietas" w:customStyle="1">
    <w:name w:val="Viñetas"/>
    <w:rPr>
      <w:rFonts w:ascii="OpenSymbol" w:hAnsi="OpenSymbol" w:eastAsia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cabezadoCar" w:customStyle="1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character" w:styleId="PiedepginaCar" w:customStyle="1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character" w:styleId="Ttulo1Car" w:customStyle="1">
    <w:name w:val="Título 1 Car"/>
    <w:rPr>
      <w:rFonts w:ascii="Cambria" w:hAnsi="Cambria" w:eastAsia="Times New Roman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Ttulo2Car" w:customStyle="1">
    <w:name w:val="Título 2 Car"/>
    <w:rPr>
      <w:rFonts w:ascii="Cambria" w:hAnsi="Cambria" w:eastAsia="Times New Roman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3Car" w:customStyle="1">
    <w:name w:val="Título 3 Car"/>
    <w:rPr>
      <w:rFonts w:ascii="Cambria" w:hAnsi="Cambria" w:eastAsia="Times New Roman" w:cs="Cambria"/>
      <w:b/>
      <w:bCs/>
      <w:w w:val="100"/>
      <w:position w:val="-1"/>
      <w:sz w:val="26"/>
      <w:szCs w:val="26"/>
      <w:u w:val="single"/>
      <w:effect w:val="none"/>
      <w:vertAlign w:val="baseline"/>
      <w:cs w:val="0"/>
      <w:em w:val="none"/>
    </w:rPr>
  </w:style>
  <w:style w:type="character" w:styleId="Ttulo4Car" w:customStyle="1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5Car" w:customStyle="1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tulo6Car" w:customStyle="1">
    <w:name w:val="Título 6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Ttulo7Car" w:customStyle="1">
    <w:name w:val="Título 7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8Car" w:customStyle="1">
    <w:name w:val="Título 8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9Car" w:customStyle="1">
    <w:name w:val="Título 9 Car"/>
    <w:rPr>
      <w:rFonts w:ascii="Cambria" w:hAnsi="Cambria" w:eastAsia="Times New Roman" w:cs="Cambria"/>
      <w:w w:val="100"/>
      <w:position w:val="-1"/>
      <w:effect w:val="none"/>
      <w:vertAlign w:val="baseline"/>
      <w:cs w:val="0"/>
      <w:em w:val="none"/>
    </w:rPr>
  </w:style>
  <w:style w:type="character" w:styleId="TtuloCar" w:customStyle="1">
    <w:name w:val="Título Car"/>
    <w:rPr>
      <w:rFonts w:ascii="Cambria" w:hAnsi="Cambria" w:eastAsia="Times New Roman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SubttuloCar" w:customStyle="1">
    <w:name w:val="Subtítulo Car"/>
    <w:rPr>
      <w:rFonts w:ascii="Cambria" w:hAnsi="Cambria" w:eastAsia="Times New Roman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rFonts w:ascii="Calibri" w:hAnsi="Calibri" w:cs="Calibri"/>
      <w:b/>
      <w:i/>
      <w:iCs/>
      <w:w w:val="100"/>
      <w:position w:val="-1"/>
      <w:effect w:val="none"/>
      <w:vertAlign w:val="baseline"/>
      <w:cs w:val="0"/>
      <w:em w:val="none"/>
    </w:rPr>
  </w:style>
  <w:style w:type="character" w:styleId="CitaCar" w:customStyle="1">
    <w:name w:val="Cita C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itadestacadaCar" w:customStyle="1">
    <w:name w:val="Cita destacada C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nfasissutil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enciasutil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rFonts w:ascii="Cambria" w:hAnsi="Cambria" w:eastAsia="Times New Roman" w:cs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notaalpie2" w:customStyle="1">
    <w:name w:val="Ref. de nota al pie2"/>
    <w:rPr>
      <w:w w:val="100"/>
      <w:position w:val="-1"/>
      <w:effect w:val="none"/>
      <w:vertAlign w:val="superscript"/>
      <w:cs w:val="0"/>
      <w:em w:val="none"/>
    </w:rPr>
  </w:style>
  <w:style w:type="character" w:styleId="Refdenotaalfinal1" w:customStyle="1">
    <w:name w:val="Ref. de nota al final1"/>
    <w:rPr>
      <w:w w:val="100"/>
      <w:position w:val="-1"/>
      <w:effect w:val="none"/>
      <w:vertAlign w:val="superscript"/>
      <w:cs w:val="0"/>
      <w:em w:val="none"/>
    </w:rPr>
  </w:style>
  <w:style w:type="paragraph" w:styleId="Ttulo30" w:customStyle="1">
    <w:name w:val="Título3"/>
    <w:basedOn w:val="Normal"/>
    <w:next w:val="Textoindependien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Ttulo20" w:customStyle="1">
    <w:name w:val="Título2"/>
    <w:basedOn w:val="Normal"/>
    <w:next w:val="Normal"/>
    <w:pPr>
      <w:spacing w:before="240" w:after="60"/>
      <w:jc w:val="center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Epgrafe1" w:customStyle="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Ttulo10" w:customStyle="1">
    <w:name w:val="Título1"/>
    <w:basedOn w:val="Normal"/>
    <w:next w:val="Textoindependiente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Descripcin1" w:customStyle="1">
    <w:name w:val="Descripción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Etiqueta" w:customStyle="1">
    <w:name w:val="Etiqueta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notapie">
    <w:name w:val="footnote text"/>
    <w:basedOn w:val="Normal"/>
    <w:rPr>
      <w:sz w:val="20"/>
      <w:szCs w:val="20"/>
    </w:rPr>
  </w:style>
  <w:style w:type="paragraph" w:styleId="Cabeceraypie" w:customStyle="1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pPr>
      <w:tabs>
        <w:tab w:val="center" w:pos="4513"/>
        <w:tab w:val="right" w:pos="9026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inespaciado">
    <w:name w:val="No Spacing"/>
    <w:basedOn w:val="Normal"/>
    <w:rPr>
      <w:szCs w:val="32"/>
    </w:rPr>
  </w:style>
  <w:style w:type="paragraph" w:styleId="Prrafodelista">
    <w:name w:val="List Paragraph"/>
    <w:basedOn w:val="Normal"/>
    <w:pPr>
      <w:ind w:left="720" w:firstLine="0"/>
      <w:contextualSpacing/>
    </w:pPr>
  </w:style>
  <w:style w:type="paragraph" w:styleId="Cita">
    <w:name w:val="Quote"/>
    <w:basedOn w:val="Normal"/>
    <w:next w:val="Normal"/>
    <w:rPr>
      <w:i/>
    </w:rPr>
  </w:style>
  <w:style w:type="paragraph" w:styleId="Citadestacada">
    <w:name w:val="Intense Quote"/>
    <w:basedOn w:val="Normal"/>
    <w:next w:val="Normal"/>
    <w:pPr>
      <w:ind w:left="720" w:right="720" w:firstLine="0"/>
    </w:pPr>
    <w:rPr>
      <w:b/>
      <w:i/>
      <w:szCs w:val="22"/>
    </w:rPr>
  </w:style>
  <w:style w:type="paragraph" w:styleId="TtulodeTDC">
    <w:name w:val="TOC Heading"/>
    <w:basedOn w:val="Ttulo1"/>
    <w:next w:val="Normal"/>
    <w:pPr>
      <w:numPr>
        <w:numId w:val="0"/>
      </w:numPr>
      <w:ind w:left="-1" w:leftChars="-1" w:hanging="1" w:hangingChars="1"/>
    </w:p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  <w:jc w:val="center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final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character" w:customStyle="1" w:styleId="Ttulo1Car">
    <w:name w:val="Título 1 Car"/>
    <w:rPr>
      <w:rFonts w:ascii="Cambria" w:eastAsia="Times New Roman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w w:val="100"/>
      <w:position w:val="-1"/>
      <w:sz w:val="26"/>
      <w:szCs w:val="26"/>
      <w:u w:val="single"/>
      <w:effect w:val="none"/>
      <w:vertAlign w:val="baseline"/>
      <w:cs w:val="0"/>
      <w:em w:val="none"/>
    </w:rPr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ar">
    <w:name w:val="Título 6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ar">
    <w:name w:val="Título 8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mbria" w:eastAsia="Times New Roman" w:hAnsi="Cambria" w:cs="Cambria"/>
      <w:w w:val="100"/>
      <w:position w:val="-1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tuloCar">
    <w:name w:val="Subtítulo Car"/>
    <w:rPr>
      <w:rFonts w:ascii="Cambria" w:eastAsia="Times New Roman" w:hAnsi="Cambria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rFonts w:ascii="Calibri" w:hAnsi="Calibri" w:cs="Calibri"/>
      <w:b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itaCar">
    <w:name w:val="Cita C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itadestacadaCar">
    <w:name w:val="Cita destacada C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nfasissutil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enciasutil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rFonts w:ascii="Cambria" w:eastAsia="Times New Roman" w:hAnsi="Cambria" w:cs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notaalpie2">
    <w:name w:val="Ref. de nota al pie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final1">
    <w:name w:val="Ref. de nota al final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20">
    <w:name w:val="Título2"/>
    <w:basedOn w:val="Normal"/>
    <w:next w:val="Normal"/>
    <w:pPr>
      <w:spacing w:before="240" w:after="60"/>
      <w:jc w:val="center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pPr>
      <w:tabs>
        <w:tab w:val="center" w:pos="4513"/>
        <w:tab w:val="right" w:pos="9026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basedOn w:val="Normal"/>
    <w:rPr>
      <w:szCs w:val="32"/>
    </w:rPr>
  </w:style>
  <w:style w:type="paragraph" w:styleId="Prrafodelista">
    <w:name w:val="List Paragraph"/>
    <w:basedOn w:val="Normal"/>
    <w:pPr>
      <w:ind w:left="720" w:firstLine="0"/>
      <w:contextualSpacing/>
    </w:pPr>
  </w:style>
  <w:style w:type="paragraph" w:styleId="Cita">
    <w:name w:val="Quote"/>
    <w:basedOn w:val="Normal"/>
    <w:next w:val="Normal"/>
    <w:rPr>
      <w:i/>
    </w:rPr>
  </w:style>
  <w:style w:type="paragraph" w:styleId="Citadestacada">
    <w:name w:val="Intense Quote"/>
    <w:basedOn w:val="Normal"/>
    <w:next w:val="Normal"/>
    <w:pPr>
      <w:ind w:left="720" w:right="720" w:firstLine="0"/>
    </w:pPr>
    <w:rPr>
      <w:b/>
      <w:i/>
      <w:szCs w:val="22"/>
    </w:rPr>
  </w:style>
  <w:style w:type="paragraph" w:styleId="TtulodeTDC">
    <w:name w:val="TOC Heading"/>
    <w:basedOn w:val="Ttulo1"/>
    <w:next w:val="Normal"/>
    <w:pPr>
      <w:numPr>
        <w:numId w:val="0"/>
      </w:numPr>
      <w:ind w:leftChars="-1" w:left="-1" w:hangingChars="1" w:hanging="1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cba.cat/uploads/20080408/Georges_Didi_Huberman_Cuando_las_imagenes_tocan_lo_real.pdf" TargetMode="External" Id="rId8" /><Relationship Type="http://schemas.openxmlformats.org/officeDocument/2006/relationships/hyperlink" Target="http://www.antropologiadelasubjetividad.com/images/trabajos/luciano_fabbri.pdf" TargetMode="External" Id="rId13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hyperlink" Target="http://www.macba.cat/uploads/20080408/Georges_Didi_Huberman_Cuando_las_imagenes_tocan_lo_real.pdf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elcohetealaluna.com/la-sociedad-contra-el-margen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eternacadencia.com.ar/blog/contenidos-originales/entrevistas/item/camila-sosa-villada-tome-conciencia-de-que-era-una-escritora-trans-con-este-libro.html" TargetMode="External" Id="rId15" /><Relationship Type="http://schemas.openxmlformats.org/officeDocument/2006/relationships/hyperlink" Target="http://www.antropologiadelasubjetividad.com/images/trabajos/luciano_fabbri.pdf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www.eternacadencia.com.ar/blog/contenidos-originales/entrevistas/item/camila-sosa-villada-tome-conciencia-de-que-era-una-escritora-trans-con-este-libro.html" TargetMode="External" Id="rId9" /><Relationship Type="http://schemas.openxmlformats.org/officeDocument/2006/relationships/hyperlink" Target="https://www.elcohetealaluna.com/la-sociedad-contra-el-margen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53S1leOzU9h3PYWtUG/KkC/dg==">AMUW2mVQELp2I6NrWK/X9jO0sHB4AgONToBTdwRz89Hhl7MnStNEox5lksoP3LtPmDnS5Y7AjQVnxaFYz/9DMLSxrGDXbRfuMex1JWxyDyHUyIKY9GpJWPM=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.</dc:creator>
  <lastModifiedBy>Cynthia Ethel Bustelo</lastModifiedBy>
  <revision>5</revision>
  <dcterms:created xsi:type="dcterms:W3CDTF">2022-04-26T19:05:00.0000000Z</dcterms:created>
  <dcterms:modified xsi:type="dcterms:W3CDTF">2022-10-27T15:29:38.9744513Z</dcterms:modified>
</coreProperties>
</file>