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240" w:after="60"/>
        <w:jc w:val="left"/>
        <w:rPr/>
      </w:pPr>
      <w:r>
        <w:rPr>
          <w:rFonts w:eastAsia="Times New Roman" w:cs="Cambria"/>
          <w:b/>
          <w:bCs/>
          <w:sz w:val="32"/>
          <w:szCs w:val="32"/>
          <w:lang w:eastAsia="zh-CN"/>
        </w:rPr>
        <w:t>Titulo del curso: Pedagogías y contra-pedagogías de la crueldad</w:t>
      </w:r>
    </w:p>
    <w:p>
      <w:pPr>
        <w:pStyle w:val="Normal"/>
        <w:rPr/>
      </w:pPr>
      <w:r>
        <w:rPr/>
      </w:r>
    </w:p>
    <w:p>
      <w:pPr>
        <w:pStyle w:val="Normal"/>
        <w:rPr/>
      </w:pPr>
      <w:r>
        <w:rPr/>
      </w:r>
    </w:p>
    <w:p>
      <w:pPr>
        <w:pStyle w:val="Normal"/>
        <w:jc w:val="center"/>
        <w:rPr/>
      </w:pPr>
      <w:r>
        <w:rPr>
          <w:b/>
        </w:rPr>
        <w:t>Pedagogías y contra-pedagogías de la crueldad</w:t>
      </w:r>
    </w:p>
    <w:p>
      <w:pPr>
        <w:pStyle w:val="NormalWeb"/>
        <w:shd w:val="clear" w:color="auto" w:themeTint="0" w:themeShade="0" w:fill="FFFFFF" w:themeFillTint="0" w:themeFillShade="0"/>
        <w:spacing w:beforeAutospacing="0" w:before="0" w:afterAutospacing="0" w:after="360"/>
        <w:jc w:val="center"/>
        <w:rPr>
          <w:rFonts w:ascii="Calibri" w:hAnsi="Calibri" w:cs="Calibri" w:asciiTheme="minorHAnsi" w:cstheme="minorHAnsi" w:hAnsiTheme="minorHAnsi"/>
        </w:rPr>
      </w:pPr>
      <w:r>
        <w:rPr>
          <w:rFonts w:cs="Calibri" w:ascii="Calibri" w:hAnsi="Calibri" w:asciiTheme="minorHAnsi" w:cstheme="minorHAnsi" w:hAnsiTheme="minorHAnsi"/>
        </w:rPr>
        <w:t>Rita Segato</w:t>
      </w:r>
    </w:p>
    <w:p>
      <w:pPr>
        <w:pStyle w:val="NormalWeb"/>
        <w:shd w:val="clear" w:color="auto" w:themeTint="0" w:themeShade="0" w:fill="FFFFFF" w:themeFillTint="0" w:themeFillShade="0"/>
        <w:spacing w:beforeAutospacing="0" w:before="0" w:afterAutospacing="0" w:after="360"/>
        <w:jc w:val="both"/>
        <w:rPr/>
      </w:pPr>
      <w:r>
        <w:rPr>
          <w:rFonts w:cs="Calibri" w:ascii="Calibri" w:hAnsi="Calibri" w:asciiTheme="minorHAnsi" w:cstheme="minorHAnsi" w:hAnsiTheme="minorHAnsi"/>
          <w:b/>
        </w:rPr>
        <w:t>Fundamentación</w:t>
      </w:r>
    </w:p>
    <w:p>
      <w:pPr>
        <w:pStyle w:val="NormalWeb"/>
        <w:shd w:val="clear" w:color="auto" w:themeTint="0" w:themeShade="0" w:fill="FFFFFF" w:themeFillTint="0" w:themeFillShade="0"/>
        <w:spacing w:beforeAutospacing="0" w:before="0" w:afterAutospacing="0" w:after="360"/>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 xml:space="preserve">Las </w:t>
      </w:r>
      <w:r>
        <w:rPr>
          <w:rStyle w:val="Destacado"/>
          <w:rFonts w:cs="Calibri" w:ascii="Calibri" w:hAnsi="Calibri" w:asciiTheme="minorHAnsi" w:cstheme="minorHAnsi" w:hAnsiTheme="minorHAnsi"/>
          <w:color w:val="000000"/>
        </w:rPr>
        <w:t>pedagogías de la crueldad</w:t>
      </w:r>
      <w:r>
        <w:rPr>
          <w:rFonts w:cs="Calibri" w:ascii="Calibri" w:hAnsi="Calibri" w:asciiTheme="minorHAnsi" w:cstheme="minorHAnsi" w:hAnsiTheme="minorHAnsi"/>
          <w:color w:val="000000"/>
        </w:rPr>
        <w:t> constituyen todos los actos y prácticas que enseñan, habitúan y programan a los sujetos a transmutar lo vivo y su vitalidad en cosas. En ese sentido, esta pedagogía enseña algo que va mucho más allá del matar, enseña a matar de una muerte desritualizada, de una muerte que deja apenas residuos en el lugar del difunto. La trata y la explotación sexual practicadas en los días de hoy son los más perfectos ejemplos y, al mismo tiempo, alegorías de las pedagogías de la crueldad. Este seminario gira en torno al análisis de los modos en que la captura de algo que fluía errante e imprevisible, como es la vida, y de los modos en que se instala allí la inercia y la esterilidad de la cosa, mensurable, vendible, comprable y obsolescente, como conviene al consumo en esta fase apocalíptica del capital. Al mismo tiempo, este seminario se interroga sobre los modos de concebir y diseñar contra-pedagogías capaces de rescatar una sensibilidad y vincularidad que puedan oponerse a las presiones de la época y, sobre todo, que permitan visualizar caminos alternativos.</w:t>
      </w:r>
    </w:p>
    <w:p>
      <w:pPr>
        <w:pStyle w:val="Normal"/>
        <w:rPr>
          <w:rFonts w:ascii="Calibri" w:hAnsi="Calibri" w:eastAsia="Times New Roman" w:cs="Times New Roman"/>
          <w:b/>
          <w:b/>
          <w:sz w:val="24"/>
          <w:szCs w:val="24"/>
          <w:lang w:eastAsia="zh-CN"/>
        </w:rPr>
      </w:pPr>
      <w:r>
        <w:rPr>
          <w:rFonts w:eastAsia="Times New Roman" w:cs="Times New Roman"/>
          <w:b/>
          <w:sz w:val="24"/>
          <w:szCs w:val="24"/>
          <w:lang w:eastAsia="zh-CN"/>
        </w:rPr>
      </w:r>
    </w:p>
    <w:p>
      <w:pPr>
        <w:pStyle w:val="Normal"/>
        <w:rPr>
          <w:b/>
          <w:b/>
        </w:rPr>
      </w:pPr>
      <w:r>
        <w:rPr>
          <w:b/>
        </w:rPr>
        <w:t xml:space="preserve">Bibliografía </w:t>
      </w:r>
    </w:p>
    <w:p>
      <w:pPr>
        <w:pStyle w:val="Normal"/>
        <w:rPr/>
      </w:pPr>
      <w:r>
        <w:rPr/>
      </w:r>
    </w:p>
    <w:p>
      <w:pPr>
        <w:pStyle w:val="Normal"/>
        <w:rPr>
          <w:b/>
          <w:b/>
        </w:rPr>
      </w:pPr>
      <w:r>
        <w:rPr>
          <w:b/>
        </w:rPr>
        <w:t>Unidad 1</w:t>
      </w:r>
    </w:p>
    <w:p>
      <w:pPr>
        <w:pStyle w:val="Normal"/>
        <w:rPr/>
      </w:pPr>
      <w:r>
        <w:rPr/>
        <w:t>La violencia de género. Dominación, poder y feminidades de diseño. Pedagogías de la crueldad. La violencia como factor expresivo. Política de los cuerpos y afectividades otras. Mujer y experiencia.</w:t>
      </w:r>
    </w:p>
    <w:p>
      <w:pPr>
        <w:pStyle w:val="Normal"/>
        <w:rPr/>
      </w:pPr>
      <w:r>
        <w:rPr/>
      </w:r>
    </w:p>
    <w:p>
      <w:pPr>
        <w:pStyle w:val="Normal"/>
        <w:rPr/>
      </w:pPr>
      <w:bookmarkStart w:id="0" w:name="_Hlk516263120"/>
      <w:r>
        <w:rPr/>
        <w:t xml:space="preserve">Segato, Rita (2003) </w:t>
      </w:r>
      <w:bookmarkEnd w:id="0"/>
      <w:r>
        <w:rPr/>
        <w:t>Las Estructuras Elementales de la violencia. Bernal, Universidad Nacional de Quilmes y Prometeo.</w:t>
      </w:r>
    </w:p>
    <w:p>
      <w:pPr>
        <w:pStyle w:val="Normal"/>
        <w:rPr/>
      </w:pPr>
      <w:r>
        <w:rPr/>
      </w:r>
    </w:p>
    <w:p>
      <w:pPr>
        <w:pStyle w:val="Normal"/>
        <w:rPr/>
      </w:pPr>
      <w:r>
        <w:rPr/>
        <w:t xml:space="preserve">Segato, Rita (2013) La Escritura en el cuerpo de las mujeres asesinadas en Ciudad Juárez, Buenos aires, Tinta Limón. </w:t>
      </w:r>
    </w:p>
    <w:p>
      <w:pPr>
        <w:pStyle w:val="Normal"/>
        <w:rPr/>
      </w:pPr>
      <w:r>
        <w:rPr/>
      </w:r>
    </w:p>
    <w:p>
      <w:pPr>
        <w:pStyle w:val="Normal"/>
        <w:rPr/>
      </w:pPr>
      <w:r>
        <w:rPr/>
        <w:t>Segato, Rita (2014) Las Nuevas Formas de la Guerra y el Cuerpo de las Mujeres, México, Pez en el Árbol.</w:t>
      </w:r>
    </w:p>
    <w:p>
      <w:pPr>
        <w:pStyle w:val="Normal"/>
        <w:rPr/>
      </w:pPr>
      <w:r>
        <w:rPr/>
      </w:r>
    </w:p>
    <w:p>
      <w:pPr>
        <w:pStyle w:val="Normal"/>
        <w:rPr>
          <w:b/>
          <w:b/>
        </w:rPr>
      </w:pPr>
      <w:r>
        <w:rPr>
          <w:b/>
        </w:rPr>
        <w:t>Unidad 2</w:t>
      </w:r>
    </w:p>
    <w:p>
      <w:pPr>
        <w:pStyle w:val="Normal"/>
        <w:rPr/>
      </w:pPr>
      <w:r>
        <w:rPr/>
        <w:t>Las fracturas de la Nación, la discriminación y los Derechos Humanos: raza, etnicidad, religión y diversidad religiosa, entre otros ejes.</w:t>
      </w:r>
    </w:p>
    <w:p>
      <w:pPr>
        <w:pStyle w:val="Normal"/>
        <w:rPr/>
      </w:pPr>
      <w:r>
        <w:rPr/>
      </w:r>
    </w:p>
    <w:p>
      <w:pPr>
        <w:pStyle w:val="Normal"/>
        <w:rPr/>
      </w:pPr>
      <w:r>
        <w:rPr/>
        <w:t>Segato, Rita (2007) La Nación y sus Otros: raza, etnicidad y diversidad religiosa en tiempos de políticas de la identidad, Buenos Aires, Prometeo.</w:t>
      </w:r>
    </w:p>
    <w:p>
      <w:pPr>
        <w:pStyle w:val="Normal"/>
        <w:rPr/>
      </w:pPr>
      <w:r>
        <w:rPr/>
      </w:r>
    </w:p>
    <w:p>
      <w:pPr>
        <w:pStyle w:val="Normal"/>
        <w:rPr/>
      </w:pPr>
      <w:r>
        <w:rPr/>
        <w:t>Segato, Rita (2004) “Antropología y Derechos Humanos: Ética y Alteridad en la expansión de los derechos universales”; Brasilia, Universidad de Brasilia, Departamento de Antropología.</w:t>
      </w:r>
    </w:p>
    <w:p>
      <w:pPr>
        <w:pStyle w:val="Normal"/>
        <w:rPr/>
      </w:pPr>
      <w:r>
        <w:rPr/>
      </w:r>
    </w:p>
    <w:p>
      <w:pPr>
        <w:pStyle w:val="Normal"/>
        <w:rPr/>
      </w:pPr>
      <w:r>
        <w:rPr/>
      </w:r>
    </w:p>
    <w:p>
      <w:pPr>
        <w:pStyle w:val="Normal"/>
        <w:rPr>
          <w:b/>
          <w:b/>
        </w:rPr>
      </w:pPr>
      <w:r>
        <w:rPr>
          <w:b/>
        </w:rPr>
        <w:t>Unidad 3</w:t>
      </w:r>
    </w:p>
    <w:p>
      <w:pPr>
        <w:pStyle w:val="Normal"/>
        <w:rPr/>
      </w:pPr>
      <w:r>
        <w:rPr/>
        <w:t>El tema de la Antropología por Demanda y la Colonialidad del Poder. Saberes territoriales, conocimiento y experiencia subalterna.</w:t>
      </w:r>
    </w:p>
    <w:p>
      <w:pPr>
        <w:pStyle w:val="Normal"/>
        <w:rPr/>
      </w:pPr>
      <w:r>
        <w:rPr/>
      </w:r>
    </w:p>
    <w:p>
      <w:pPr>
        <w:pStyle w:val="Normal"/>
        <w:rPr/>
      </w:pPr>
      <w:r>
        <w:rPr/>
        <w:t>Segato, Rita (2016) La Crítica de la Colonialidad en Ocho Ensayos y Una Antropología por Demanda, Buenos Aires, Prometeo.</w:t>
      </w:r>
    </w:p>
    <w:p>
      <w:pPr>
        <w:pStyle w:val="Normal"/>
        <w:rPr/>
      </w:pPr>
      <w:r>
        <w:rPr/>
      </w:r>
    </w:p>
    <w:p>
      <w:pPr>
        <w:pStyle w:val="Normal"/>
        <w:rPr/>
      </w:pPr>
      <w:r>
        <w:rPr/>
        <w:t>Segato, Rita (2018) Contrapedagogías de la crueldad, Buenos Aires, Prometeo.</w:t>
      </w:r>
    </w:p>
    <w:p>
      <w:pPr>
        <w:pStyle w:val="Normal"/>
        <w:rPr/>
      </w:pPr>
      <w:r>
        <w:rPr/>
      </w:r>
    </w:p>
    <w:p>
      <w:pPr>
        <w:pStyle w:val="Normal"/>
        <w:rPr>
          <w:b/>
          <w:b/>
          <w:bCs/>
          <w:lang w:val="es-ES"/>
        </w:rPr>
      </w:pPr>
      <w:r>
        <w:rPr>
          <w:b/>
          <w:bCs/>
          <w:lang w:val="es-ES"/>
        </w:rPr>
      </w:r>
    </w:p>
    <w:p>
      <w:pPr>
        <w:pStyle w:val="Normal"/>
        <w:rPr/>
      </w:pPr>
      <w:r>
        <w:rPr>
          <w:b/>
          <w:bCs/>
          <w:lang w:val="es-ES"/>
        </w:rPr>
        <w:t>Requisitos para la aprobación y evaluación:</w:t>
      </w:r>
    </w:p>
    <w:p>
      <w:pPr>
        <w:pStyle w:val="Normal"/>
        <w:rPr/>
      </w:pPr>
      <w:r>
        <w:rPr/>
      </w:r>
    </w:p>
    <w:p>
      <w:pPr>
        <w:pStyle w:val="Normal"/>
        <w:rPr/>
      </w:pPr>
      <w:r>
        <w:rPr>
          <w:lang w:val="es-ES"/>
        </w:rPr>
        <w:t>Cumplimentar el 80% de asistencia a las clases.</w:t>
      </w:r>
    </w:p>
    <w:p>
      <w:pPr>
        <w:pStyle w:val="Normal"/>
        <w:rPr/>
      </w:pPr>
      <w:r>
        <w:rPr/>
        <w:t>Realización de un trabajo escrito final sobre los temas trabajados en el seminario que integre las discusiones de las clases y la bibliografía del programa.</w:t>
      </w:r>
    </w:p>
    <w:p>
      <w:pPr>
        <w:pStyle w:val="Normal"/>
        <w:rPr/>
      </w:pPr>
      <w:r>
        <w:rPr/>
      </w:r>
    </w:p>
    <w:p>
      <w:pPr>
        <w:pStyle w:val="Normal"/>
        <w:rPr/>
      </w:pPr>
      <w:r>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6da"/>
    <w:pPr>
      <w:widowControl/>
      <w:suppressAutoHyphens w:val="true"/>
      <w:bidi w:val="0"/>
      <w:spacing w:lineRule="auto" w:line="240" w:before="0" w:after="0"/>
      <w:jc w:val="both"/>
    </w:pPr>
    <w:rPr>
      <w:rFonts w:ascii="Calibri" w:hAnsi="Calibri" w:eastAsia="Times New Roman" w:cs="Times New Roman" w:asciiTheme="minorHAnsi" w:hAnsiTheme="minorHAnsi"/>
      <w:color w:val="00000A"/>
      <w:sz w:val="24"/>
      <w:szCs w:val="24"/>
      <w:lang w:val="es-AR" w:eastAsia="zh-CN" w:bidi="ar-SA"/>
    </w:rPr>
  </w:style>
  <w:style w:type="character" w:styleId="DefaultParagraphFont" w:default="1">
    <w:name w:val="Default Paragraph Font"/>
    <w:uiPriority w:val="1"/>
    <w:unhideWhenUsed/>
    <w:qFormat/>
    <w:rPr/>
  </w:style>
  <w:style w:type="character" w:styleId="Caracteresdenotaalpie" w:customStyle="1">
    <w:name w:val="Caracteres de nota al pie"/>
    <w:qFormat/>
    <w:rsid w:val="00cd36da"/>
    <w:rPr>
      <w:vertAlign w:val="superscript"/>
    </w:rPr>
  </w:style>
  <w:style w:type="character" w:styleId="Refdenotaalpie1" w:customStyle="1">
    <w:name w:val="Ref. de nota al pie1"/>
    <w:qFormat/>
    <w:rsid w:val="00cd36da"/>
    <w:rPr>
      <w:vertAlign w:val="superscript"/>
    </w:rPr>
  </w:style>
  <w:style w:type="character" w:styleId="FootnoteTextChar" w:customStyle="1">
    <w:name w:val="Footnote Text Char"/>
    <w:basedOn w:val="DefaultParagraphFont"/>
    <w:link w:val="FootnoteText"/>
    <w:qFormat/>
    <w:rsid w:val="00cd36da"/>
    <w:rPr>
      <w:rFonts w:ascii="Calibri" w:hAnsi="Calibri" w:eastAsia="Times New Roman" w:cs="Times New Roman"/>
      <w:sz w:val="20"/>
      <w:szCs w:val="20"/>
      <w:lang w:eastAsia="zh-CN"/>
    </w:rPr>
  </w:style>
  <w:style w:type="character" w:styleId="Destacado">
    <w:name w:val="Destacado"/>
    <w:basedOn w:val="DefaultParagraphFont"/>
    <w:uiPriority w:val="20"/>
    <w:qFormat/>
    <w:rsid w:val="00c55788"/>
    <w:rPr>
      <w:i/>
      <w:iCs/>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Mangal"/>
    </w:rPr>
  </w:style>
  <w:style w:type="paragraph" w:styleId="Encabezado">
    <w:name w:val="Encabezado"/>
    <w:basedOn w:val="Normal"/>
    <w:qFormat/>
    <w:pPr>
      <w:keepNext/>
      <w:spacing w:before="240" w:after="120"/>
    </w:pPr>
    <w:rPr>
      <w:rFonts w:ascii="Liberation Sans" w:hAnsi="Liberation Sans" w:eastAsia="Arial Unicode MS"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Ttulo2" w:customStyle="1">
    <w:name w:val="Título2"/>
    <w:basedOn w:val="Normal"/>
    <w:next w:val="Normal"/>
    <w:qFormat/>
    <w:rsid w:val="00cd36da"/>
    <w:pPr>
      <w:spacing w:before="240" w:after="60"/>
      <w:jc w:val="center"/>
    </w:pPr>
    <w:rPr>
      <w:rFonts w:ascii="Cambria" w:hAnsi="Cambria" w:cs="Cambria"/>
      <w:b/>
      <w:bCs/>
      <w:sz w:val="32"/>
      <w:szCs w:val="32"/>
    </w:rPr>
  </w:style>
  <w:style w:type="paragraph" w:styleId="Footnotetext">
    <w:name w:val="footnote text"/>
    <w:basedOn w:val="Normal"/>
    <w:link w:val="FootnoteTextChar"/>
    <w:qFormat/>
    <w:rsid w:val="00cd36da"/>
    <w:pPr/>
    <w:rPr>
      <w:sz w:val="20"/>
      <w:szCs w:val="20"/>
    </w:rPr>
  </w:style>
  <w:style w:type="paragraph" w:styleId="NormalWeb">
    <w:name w:val="Normal (Web)"/>
    <w:basedOn w:val="Normal"/>
    <w:uiPriority w:val="99"/>
    <w:unhideWhenUsed/>
    <w:qFormat/>
    <w:rsid w:val="00c55788"/>
    <w:pPr>
      <w:suppressAutoHyphens w:val="false"/>
      <w:spacing w:before="280" w:after="280"/>
      <w:jc w:val="left"/>
    </w:pPr>
    <w:rPr>
      <w:rFonts w:ascii="Times New Roman" w:hAnsi="Times New Roman"/>
      <w:lang w:eastAsia="es-AR"/>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Application>LibreOffice/5.2.4.2$Linux_X86_64 LibreOffice_project/3d5603e1122f0f102b62521720ab13a38a4e0eb0</Application>
  <Pages>2</Pages>
  <Words>447</Words>
  <Characters>2403</Characters>
  <CharactersWithSpaces>2830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2018-06-12T13:48:00Z</dcterms:created>
  <dc:creator>Nicolás Arata</dc:creator>
  <dc:description/>
  <dc:language>es-AR</dc:language>
  <cp:lastModifiedBy/>
  <dcterms:modified xsi:type="dcterms:W3CDTF">2018-08-16T13:43:58Z</dcterms:modified>
  <cp:revision>6</cp:revision>
  <dc:subject/>
  <dc:title/>
</cp:coreProperties>
</file>