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369" w:rsidRDefault="00ED0369">
      <w:pPr>
        <w:pStyle w:val="NoSpacing"/>
        <w:spacing w:after="0" w:line="200" w:lineRule="atLeast"/>
      </w:pPr>
      <w:r>
        <w:rPr>
          <w:sz w:val="24"/>
          <w:szCs w:val="24"/>
        </w:rPr>
        <w:t>Universidad de Buenos Aires</w:t>
      </w:r>
    </w:p>
    <w:p w:rsidR="00ED0369" w:rsidRDefault="00ED0369">
      <w:pPr>
        <w:pStyle w:val="NoSpacing"/>
        <w:spacing w:after="0" w:line="200" w:lineRule="atLeast"/>
      </w:pPr>
      <w:r>
        <w:rPr>
          <w:sz w:val="24"/>
          <w:szCs w:val="24"/>
        </w:rPr>
        <w:t>Facultad de Filosofía y Letras</w:t>
      </w:r>
    </w:p>
    <w:p w:rsidR="00ED0369" w:rsidRDefault="00ED0369">
      <w:pPr>
        <w:pStyle w:val="NoSpacing"/>
        <w:spacing w:after="0" w:line="200" w:lineRule="atLeast"/>
      </w:pPr>
      <w:r>
        <w:rPr>
          <w:sz w:val="24"/>
          <w:szCs w:val="24"/>
        </w:rPr>
        <w:t>Secretaría de Posgrado</w:t>
      </w:r>
      <w:r>
        <w:rPr>
          <w:sz w:val="24"/>
          <w:szCs w:val="24"/>
        </w:rPr>
        <w:br/>
      </w:r>
    </w:p>
    <w:p w:rsidR="00ED0369" w:rsidRDefault="00ED0369">
      <w:pPr>
        <w:pStyle w:val="NoSpacing"/>
        <w:spacing w:after="0" w:line="200" w:lineRule="atLeast"/>
        <w:jc w:val="center"/>
      </w:pPr>
      <w:r>
        <w:rPr>
          <w:b/>
          <w:sz w:val="24"/>
          <w:szCs w:val="24"/>
        </w:rPr>
        <w:t>Carrera de Especialización en Educación: Pedagogías para la igualdad en contextos socioeducativos diversos</w:t>
      </w:r>
    </w:p>
    <w:p w:rsidR="00ED0369" w:rsidRDefault="00ED0369">
      <w:pPr>
        <w:pStyle w:val="NoSpacing"/>
        <w:spacing w:after="0" w:line="200" w:lineRule="atLeast"/>
        <w:jc w:val="center"/>
      </w:pPr>
    </w:p>
    <w:p w:rsidR="00ED0369" w:rsidRDefault="00ED0369">
      <w:pPr>
        <w:pStyle w:val="NoSpacing"/>
        <w:spacing w:after="0" w:line="200" w:lineRule="atLeast"/>
        <w:jc w:val="center"/>
      </w:pPr>
      <w:r>
        <w:rPr>
          <w:rFonts w:cs="Arial"/>
          <w:b/>
          <w:color w:val="000000"/>
          <w:sz w:val="24"/>
          <w:szCs w:val="24"/>
          <w:u w:val="single"/>
        </w:rPr>
        <w:t>Seminario de profundización II en el Área: Educación, género y sexualidades</w:t>
      </w:r>
      <w:r>
        <w:rPr>
          <w:b/>
          <w:sz w:val="24"/>
          <w:szCs w:val="24"/>
          <w:u w:val="single"/>
        </w:rPr>
        <w:t xml:space="preserve"> </w:t>
      </w:r>
    </w:p>
    <w:p w:rsidR="00ED0369" w:rsidRDefault="00ED0369">
      <w:pPr>
        <w:pStyle w:val="NoSpacing"/>
        <w:spacing w:after="0" w:line="200" w:lineRule="atLeast"/>
        <w:jc w:val="center"/>
      </w:pPr>
    </w:p>
    <w:p w:rsidR="00ED0369" w:rsidRDefault="00ED0369">
      <w:pPr>
        <w:pStyle w:val="NoSpacing"/>
        <w:spacing w:after="0" w:line="200" w:lineRule="atLeast"/>
        <w:jc w:val="center"/>
      </w:pPr>
    </w:p>
    <w:p w:rsidR="00ED0369" w:rsidRDefault="00ED0369">
      <w:pPr>
        <w:pStyle w:val="NoSpacing"/>
        <w:spacing w:after="0" w:line="200" w:lineRule="atLeast"/>
        <w:jc w:val="both"/>
      </w:pPr>
      <w:r>
        <w:rPr>
          <w:b/>
          <w:sz w:val="24"/>
          <w:szCs w:val="24"/>
        </w:rPr>
        <w:t xml:space="preserve">Año Lectivo: </w:t>
      </w:r>
      <w:r>
        <w:rPr>
          <w:sz w:val="24"/>
          <w:szCs w:val="24"/>
        </w:rPr>
        <w:t>2017</w:t>
      </w:r>
    </w:p>
    <w:p w:rsidR="00ED0369" w:rsidRDefault="00ED0369">
      <w:pPr>
        <w:pStyle w:val="NoSpacing"/>
        <w:spacing w:after="0" w:line="200" w:lineRule="atLeast"/>
        <w:jc w:val="both"/>
      </w:pPr>
    </w:p>
    <w:p w:rsidR="00ED0369" w:rsidRDefault="00ED0369">
      <w:pPr>
        <w:pStyle w:val="NoSpacing"/>
        <w:spacing w:after="0" w:line="200" w:lineRule="atLeast"/>
        <w:jc w:val="both"/>
      </w:pPr>
      <w:r>
        <w:rPr>
          <w:b/>
          <w:sz w:val="24"/>
          <w:szCs w:val="24"/>
        </w:rPr>
        <w:t>Profesoras:</w:t>
      </w:r>
    </w:p>
    <w:p w:rsidR="00ED0369" w:rsidRDefault="00ED0369">
      <w:pPr>
        <w:pStyle w:val="NoSpacing"/>
        <w:spacing w:after="0" w:line="200" w:lineRule="atLeast"/>
        <w:jc w:val="both"/>
      </w:pPr>
      <w:r>
        <w:rPr>
          <w:sz w:val="24"/>
          <w:szCs w:val="24"/>
        </w:rPr>
        <w:t>Báez, Jésica</w:t>
      </w:r>
    </w:p>
    <w:p w:rsidR="00ED0369" w:rsidRDefault="00ED0369">
      <w:pPr>
        <w:pStyle w:val="NoSpacing"/>
        <w:spacing w:after="0" w:line="200" w:lineRule="atLeast"/>
        <w:jc w:val="both"/>
      </w:pPr>
      <w:r>
        <w:rPr>
          <w:sz w:val="24"/>
          <w:szCs w:val="24"/>
        </w:rPr>
        <w:t>Fainsod, Paula</w:t>
      </w:r>
    </w:p>
    <w:p w:rsidR="00ED0369" w:rsidRDefault="00ED0369">
      <w:pPr>
        <w:pStyle w:val="NoSpacing"/>
        <w:spacing w:after="0" w:line="200" w:lineRule="atLeast"/>
        <w:jc w:val="both"/>
      </w:pPr>
    </w:p>
    <w:p w:rsidR="00ED0369" w:rsidRDefault="00ED0369">
      <w:pPr>
        <w:pStyle w:val="NoSpacing"/>
        <w:spacing w:after="0" w:line="200" w:lineRule="atLeast"/>
        <w:jc w:val="both"/>
      </w:pPr>
    </w:p>
    <w:p w:rsidR="00ED0369" w:rsidRDefault="00ED0369">
      <w:pPr>
        <w:pStyle w:val="NoSpacing"/>
        <w:spacing w:after="0" w:line="200" w:lineRule="atLeast"/>
        <w:jc w:val="both"/>
      </w:pPr>
      <w:r>
        <w:rPr>
          <w:b/>
          <w:sz w:val="24"/>
          <w:szCs w:val="24"/>
        </w:rPr>
        <w:t xml:space="preserve">Fundamentación </w:t>
      </w:r>
    </w:p>
    <w:p w:rsidR="00ED0369" w:rsidRPr="00B3541D" w:rsidRDefault="00ED0369">
      <w:pPr>
        <w:pStyle w:val="Cuerpodetexto"/>
        <w:spacing w:after="0" w:line="200" w:lineRule="atLeast"/>
        <w:jc w:val="both"/>
        <w:rPr>
          <w:lang w:val="es-MX"/>
        </w:rPr>
      </w:pPr>
      <w:r w:rsidRPr="00B3541D">
        <w:rPr>
          <w:lang w:val="es-MX"/>
        </w:rPr>
        <w:t xml:space="preserve">El Estado patriarcal-capitalista ha regulado las corporalidades, y con ello, las sexualidades de sus ciudadanos/as desde su creación misma, tal como Foucault (1977) se ha encargado de demostrar-.Las sexualidades y los géneros se han convertido en objeto de múltiples debates, contradicciones y paradojas. Durante los últimos años no solo continuaron solidificándose posturas en torno a su condición “inmutable”, “natural” y “esencial”, sino que también se constituyeron miradas tendientes a dar cuenta de los procesos sociales, históricos y culturales que dan forma a los modos en que la vivimos.  </w:t>
      </w:r>
    </w:p>
    <w:p w:rsidR="00ED0369" w:rsidRDefault="00ED0369">
      <w:pPr>
        <w:pStyle w:val="NormalWeb"/>
        <w:spacing w:before="0" w:after="0" w:line="200" w:lineRule="atLeast"/>
        <w:jc w:val="both"/>
      </w:pPr>
      <w:r>
        <w:rPr>
          <w:rFonts w:cs="Times New Roman"/>
        </w:rPr>
        <w:t xml:space="preserve">Un importante caudal de estudios desde el campo socioeducativo crítico ha denunciado las desigualdades de clase, de género, de color de piel y nacionalidad (entre otras) que persisten en las sociedades actuales y en las instituciones, entre ellas las escuelas. Desde estos trabajos se ha desenmascarado el discurso de la neutralidad de las instituciones dando cuenta cómo ellas participan en la consolidación de cierta normatividad y sus efectos materiales y simbólicos en las experiencias sociales y sexuales. En relación a las desigualdades de género se ha explicitado que las instituciones conforman un dispositivo de poder que reitera e impone un orden de relaciones binario y jerárquico. </w:t>
      </w:r>
    </w:p>
    <w:p w:rsidR="00ED0369" w:rsidRPr="00B3541D" w:rsidRDefault="00ED0369">
      <w:pPr>
        <w:pStyle w:val="Cuerpodetexto"/>
        <w:spacing w:after="0" w:line="200" w:lineRule="atLeast"/>
        <w:jc w:val="both"/>
        <w:rPr>
          <w:lang w:val="es-MX"/>
        </w:rPr>
      </w:pPr>
      <w:r>
        <w:rPr>
          <w:lang w:val="es-AR"/>
        </w:rPr>
        <w:t>Los procesos de democratización post dictadura y la instalación de los derechos humanos en general incluyendo los derechos sexuales así cómo el compromiso de la lucha feministas en politizar el “mundo privado” ha traccionado las lógicas hegemónicas que históricamente han situado la dimensión sexual en el marco de la vida íntima regulada legítimamente por el ordenamiento religioso y/o biomédico (Brown, 2007).</w:t>
      </w:r>
    </w:p>
    <w:p w:rsidR="00ED0369" w:rsidRPr="00B3541D" w:rsidRDefault="00ED0369">
      <w:pPr>
        <w:pStyle w:val="Cuerpodetexto"/>
        <w:spacing w:after="0" w:line="200" w:lineRule="atLeast"/>
        <w:jc w:val="both"/>
        <w:rPr>
          <w:lang w:val="es-MX"/>
        </w:rPr>
      </w:pPr>
      <w:bookmarkStart w:id="0" w:name="yui_3_16_0_ym19_1_1459906534012_6538"/>
      <w:bookmarkStart w:id="1" w:name="yui_3_16_0_ym19_1_1459906534012_6539"/>
      <w:bookmarkEnd w:id="0"/>
      <w:bookmarkEnd w:id="1"/>
      <w:r w:rsidRPr="00B3541D">
        <w:rPr>
          <w:lang w:val="es-MX"/>
        </w:rPr>
        <w:t>Al mismo tiempo, en este contexto, se encuentran las resistencias que exponen por un lado las insistencias más o menos metamorfoseadas de la derecha frente a ciertos nucleos de discusión como así también los obstáculos que encuentran los grupos contra-hegemónicos no sólo para la instalación de ciertas temáticas sino para generar producciones epistemológicas y políticas que logren oponerse a la normatividad que -siguiendo los análisis de Butler (2006)- des-hace el género en tanto socava la posibilidad de habitar ciertas vidas.</w:t>
      </w:r>
    </w:p>
    <w:p w:rsidR="00ED0369" w:rsidRPr="00B3541D" w:rsidRDefault="00ED0369">
      <w:pPr>
        <w:pStyle w:val="Cuerpodetexto"/>
        <w:spacing w:after="0" w:line="200" w:lineRule="atLeast"/>
        <w:jc w:val="both"/>
        <w:rPr>
          <w:lang w:val="es-MX"/>
        </w:rPr>
      </w:pPr>
      <w:r>
        <w:rPr>
          <w:lang w:val="es-AR"/>
        </w:rPr>
        <w:t>¿Cómo oponerse a la embestida hegemónica sin abrazar la normatividad del género y de las sexualidades en un contexto en el cual se presentan una serie de logros democratizantes significativos?, ¿Cuáles son las posibilidades de generar -desde los espacios institucionales - una mirada que ponga en tensión la normatividad y produzca categorías potentes para desafiarla? , ¿Cómo aportar a la producción de prácticas institucionales tendientes a una mayor justicia e igualdad en términos de gèneros y sexualidades?</w:t>
      </w:r>
    </w:p>
    <w:p w:rsidR="00ED0369" w:rsidRPr="00B3541D" w:rsidRDefault="00ED0369">
      <w:pPr>
        <w:pStyle w:val="Cuerpodetexto"/>
        <w:spacing w:after="0" w:line="200" w:lineRule="atLeast"/>
        <w:jc w:val="both"/>
        <w:rPr>
          <w:lang w:val="es-MX"/>
        </w:rPr>
      </w:pPr>
      <w:r>
        <w:rPr>
          <w:lang w:val="es-AR"/>
        </w:rPr>
        <w:t xml:space="preserve">En este seminario, abriremos reflexión sobre los mecanismos institucionales  desde los cuales se producen los cuerpos sexuados. Se enfatizará especialmente en los discursos que circulan en ellas en torno a las sexualidades, las adolescencias y la educación sexual. Se trabajará en algunas temáticas específicas a fin de abrir interrogantes sobre diversas experiencias tendientes a la promoción de los derechos sexuales y reproductivos  y a una mayor igualdad entre los sexos-géneros.  </w:t>
      </w:r>
    </w:p>
    <w:p w:rsidR="00ED0369" w:rsidRDefault="00ED0369">
      <w:pPr>
        <w:pStyle w:val="NoSpacing"/>
        <w:spacing w:after="0" w:line="200" w:lineRule="atLeast"/>
        <w:jc w:val="both"/>
      </w:pPr>
    </w:p>
    <w:p w:rsidR="00ED0369" w:rsidRDefault="00ED0369">
      <w:pPr>
        <w:pStyle w:val="NoSpacing"/>
        <w:spacing w:after="0" w:line="200" w:lineRule="atLeast"/>
        <w:jc w:val="both"/>
      </w:pPr>
      <w:r>
        <w:rPr>
          <w:b/>
          <w:sz w:val="24"/>
          <w:szCs w:val="24"/>
        </w:rPr>
        <w:t>Objetivos</w:t>
      </w:r>
    </w:p>
    <w:p w:rsidR="00ED0369" w:rsidRDefault="00ED0369">
      <w:pPr>
        <w:pStyle w:val="Predeterminado"/>
        <w:numPr>
          <w:ilvl w:val="0"/>
          <w:numId w:val="6"/>
        </w:numPr>
        <w:tabs>
          <w:tab w:val="left" w:pos="0"/>
        </w:tabs>
        <w:suppressAutoHyphens w:val="0"/>
        <w:ind w:left="0" w:firstLine="0"/>
        <w:jc w:val="both"/>
      </w:pPr>
      <w:r>
        <w:rPr>
          <w:rFonts w:ascii="Times New Roman" w:hAnsi="Times New Roman" w:cs="Times New Roman"/>
        </w:rPr>
        <w:t>Desarrollar un marco conceptual en torno a las relaciones de género y a la producción de los cuerpos sexuados y sexuales que favorezca la comprensión de las diferentes dimensiones involucradas como construcciones socio-históricas.</w:t>
      </w:r>
    </w:p>
    <w:p w:rsidR="00ED0369" w:rsidRDefault="00ED0369">
      <w:pPr>
        <w:pStyle w:val="Predeterminado"/>
        <w:numPr>
          <w:ilvl w:val="0"/>
          <w:numId w:val="6"/>
        </w:numPr>
        <w:tabs>
          <w:tab w:val="left" w:pos="0"/>
        </w:tabs>
        <w:suppressAutoHyphens w:val="0"/>
        <w:ind w:left="0" w:firstLine="0"/>
        <w:jc w:val="both"/>
      </w:pPr>
      <w:r>
        <w:rPr>
          <w:rFonts w:ascii="Times New Roman" w:hAnsi="Times New Roman" w:cs="Times New Roman"/>
        </w:rPr>
        <w:t xml:space="preserve">Reflexionar acerca del lugar de las instituciones sociales en la producción de relaciones de género y de los cuerpos sexuados y sexuales. </w:t>
      </w:r>
    </w:p>
    <w:p w:rsidR="00ED0369" w:rsidRDefault="00ED0369">
      <w:pPr>
        <w:pStyle w:val="Predeterminado"/>
        <w:numPr>
          <w:ilvl w:val="0"/>
          <w:numId w:val="6"/>
        </w:numPr>
        <w:tabs>
          <w:tab w:val="left" w:pos="0"/>
        </w:tabs>
        <w:suppressAutoHyphens w:val="0"/>
        <w:ind w:left="0" w:firstLine="0"/>
        <w:jc w:val="both"/>
      </w:pPr>
      <w:r>
        <w:rPr>
          <w:rFonts w:ascii="Times New Roman" w:hAnsi="Times New Roman" w:cs="Times New Roman"/>
          <w:lang w:val="es-ES" w:eastAsia="es-ES"/>
        </w:rPr>
        <w:t xml:space="preserve">Brindar un panorama comprehensivo y significativo de los principales resultados de la investigación y las experiencias más relevantes en el campo de los Estudios de Género, sexualidades y educación. </w:t>
      </w:r>
    </w:p>
    <w:p w:rsidR="00ED0369" w:rsidRDefault="00ED0369">
      <w:pPr>
        <w:pStyle w:val="Predeterminado"/>
        <w:numPr>
          <w:ilvl w:val="0"/>
          <w:numId w:val="6"/>
        </w:numPr>
        <w:tabs>
          <w:tab w:val="left" w:pos="0"/>
        </w:tabs>
        <w:suppressAutoHyphens w:val="0"/>
        <w:spacing w:after="120"/>
        <w:ind w:left="0" w:firstLine="0"/>
        <w:jc w:val="both"/>
      </w:pPr>
      <w:r>
        <w:rPr>
          <w:rFonts w:ascii="Times New Roman" w:hAnsi="Times New Roman" w:cs="Times New Roman"/>
        </w:rPr>
        <w:t>Brindar enfoques y herramientas de análisis de género que permitan reflexionar sobre las políticas educativas, marcos normativos y proyectos que aborden el vínculo relaciones de género-sexualidades-educación.</w:t>
      </w:r>
    </w:p>
    <w:p w:rsidR="00ED0369" w:rsidRDefault="00ED0369">
      <w:pPr>
        <w:pStyle w:val="Predeterminado"/>
        <w:numPr>
          <w:ilvl w:val="0"/>
          <w:numId w:val="6"/>
        </w:numPr>
        <w:tabs>
          <w:tab w:val="left" w:pos="0"/>
        </w:tabs>
        <w:suppressAutoHyphens w:val="0"/>
        <w:spacing w:after="120"/>
        <w:ind w:left="0" w:firstLine="0"/>
        <w:jc w:val="both"/>
      </w:pPr>
      <w:r>
        <w:rPr>
          <w:rFonts w:ascii="Times New Roman" w:hAnsi="Times New Roman" w:cs="Times New Roman"/>
        </w:rPr>
        <w:t xml:space="preserve">Propiciar la discusión entre los y las participantes del curso que habilite a la interrogación de los propios sentidos, saberes, experiencias y prácticas referidas a las relaciones de género, las sexualidades y el lugar de las instituciones sociales. </w:t>
      </w:r>
    </w:p>
    <w:p w:rsidR="00ED0369" w:rsidRDefault="00ED0369">
      <w:pPr>
        <w:pStyle w:val="Predeterminado"/>
        <w:numPr>
          <w:ilvl w:val="0"/>
          <w:numId w:val="6"/>
        </w:numPr>
        <w:tabs>
          <w:tab w:val="left" w:pos="0"/>
        </w:tabs>
        <w:suppressAutoHyphens w:val="0"/>
        <w:spacing w:after="120" w:line="200" w:lineRule="atLeast"/>
        <w:ind w:left="0" w:firstLine="0"/>
        <w:jc w:val="both"/>
      </w:pPr>
      <w:r>
        <w:rPr>
          <w:rFonts w:ascii="Times New Roman" w:hAnsi="Times New Roman" w:cs="Times New Roman"/>
        </w:rPr>
        <w:t>Aportar herramientas conceptuales que favorezcan, desde la perspectiva de género, la construcción de alternativas pedagógicas a partir del reconocimiento del poder y potencial propio/institucional/comunitario en la transformación de las prácticas sociales y educativas.</w:t>
      </w:r>
    </w:p>
    <w:p w:rsidR="00ED0369" w:rsidRDefault="00ED0369">
      <w:pPr>
        <w:pStyle w:val="Predeterminado"/>
        <w:tabs>
          <w:tab w:val="left" w:pos="0"/>
        </w:tabs>
        <w:suppressAutoHyphens w:val="0"/>
        <w:spacing w:after="120" w:line="200" w:lineRule="atLeast"/>
        <w:jc w:val="both"/>
      </w:pPr>
    </w:p>
    <w:p w:rsidR="00ED0369" w:rsidRDefault="00ED0369">
      <w:pPr>
        <w:pStyle w:val="Predeterminado"/>
        <w:spacing w:after="0" w:line="200" w:lineRule="atLeast"/>
        <w:jc w:val="both"/>
      </w:pPr>
      <w:r>
        <w:rPr>
          <w:rFonts w:ascii="Times New Roman" w:hAnsi="Times New Roman" w:cs="Times New Roman"/>
          <w:b/>
          <w:bCs/>
          <w:lang w:val="es-ES"/>
        </w:rPr>
        <w:t>Contenidos</w:t>
      </w:r>
    </w:p>
    <w:p w:rsidR="00ED0369" w:rsidRDefault="00ED0369">
      <w:pPr>
        <w:pStyle w:val="NoSpacing"/>
        <w:spacing w:after="0" w:line="200" w:lineRule="atLeast"/>
      </w:pPr>
      <w:r>
        <w:rPr>
          <w:b/>
          <w:sz w:val="24"/>
          <w:szCs w:val="24"/>
        </w:rPr>
        <w:t>Eje temático I: Sexualidades, género e instituciones.</w:t>
      </w:r>
    </w:p>
    <w:p w:rsidR="00ED0369" w:rsidRDefault="00ED0369">
      <w:pPr>
        <w:pStyle w:val="Predeterminado"/>
        <w:spacing w:after="0" w:line="200" w:lineRule="atLeast"/>
        <w:jc w:val="both"/>
      </w:pPr>
      <w:r>
        <w:rPr>
          <w:rFonts w:ascii="Times New Roman" w:hAnsi="Times New Roman"/>
        </w:rPr>
        <w:t xml:space="preserve">Sexualidad como construcción socio-histórica. Sexualidades y géneros en contextos actuales. Las instituciones sociales en la construcción social del cuerpo sexuado. Pedagogia de la sexualidad. El discurso de la prevencion. </w:t>
      </w:r>
      <w:r>
        <w:rPr>
          <w:rFonts w:ascii="Times New Roman" w:hAnsi="Times New Roman" w:cs="Times New Roman"/>
          <w:lang w:val="es-ES" w:eastAsia="ar-SA" w:bidi="ar-SA"/>
        </w:rPr>
        <w:t xml:space="preserve">Jóvenes, sexualidades e instituciones. Inclusiones, encuentros, desencuentros y omisiones.  Transversalización de la perspectiva de género.   </w:t>
      </w:r>
    </w:p>
    <w:p w:rsidR="00ED0369" w:rsidRDefault="00ED0369">
      <w:pPr>
        <w:pStyle w:val="normal0"/>
        <w:spacing w:after="0" w:line="200" w:lineRule="atLeast"/>
        <w:jc w:val="both"/>
      </w:pPr>
    </w:p>
    <w:p w:rsidR="00ED0369" w:rsidRDefault="00ED0369">
      <w:pPr>
        <w:pStyle w:val="NoSpacing"/>
        <w:spacing w:after="0" w:line="200" w:lineRule="atLeast"/>
        <w:jc w:val="both"/>
      </w:pPr>
      <w:r>
        <w:rPr>
          <w:b/>
          <w:sz w:val="24"/>
          <w:szCs w:val="24"/>
        </w:rPr>
        <w:t xml:space="preserve">Eje temático II: Educación Sexual: conquistas, disputas y desafíos para la inclusión de la perspectiva de género. </w:t>
      </w:r>
    </w:p>
    <w:p w:rsidR="00ED0369" w:rsidRDefault="00ED0369">
      <w:pPr>
        <w:pStyle w:val="Predeterminado"/>
        <w:spacing w:after="0" w:line="200" w:lineRule="atLeast"/>
        <w:jc w:val="both"/>
      </w:pPr>
      <w:r>
        <w:rPr>
          <w:rFonts w:ascii="Times New Roman" w:hAnsi="Times New Roman" w:cs="Times New Roman"/>
          <w:lang w:val="es-ES" w:eastAsia="ar-SA" w:bidi="ar-SA"/>
        </w:rPr>
        <w:t xml:space="preserve">Los abordajes de la sexualidad en la escuela: enfoques médico-biologicistas, enfoques de la sexología, enfoque de género. Curriculum, género y sexualidades. Educación Sexual Integral. La Ley ESI a diez años de su sanción. La incorporación de la perspectiva de género como “transversal” en el desarrollo curricular: la Educación Sexual Integral. </w:t>
      </w:r>
    </w:p>
    <w:p w:rsidR="00ED0369" w:rsidRDefault="00ED0369">
      <w:pPr>
        <w:pStyle w:val="NoSpacing"/>
        <w:spacing w:after="0" w:line="200" w:lineRule="atLeast"/>
      </w:pPr>
    </w:p>
    <w:p w:rsidR="00ED0369" w:rsidRDefault="00ED0369">
      <w:pPr>
        <w:pStyle w:val="NoSpacing"/>
        <w:spacing w:after="0" w:line="200" w:lineRule="atLeast"/>
      </w:pPr>
      <w:r>
        <w:rPr>
          <w:b/>
          <w:sz w:val="24"/>
          <w:szCs w:val="24"/>
        </w:rPr>
        <w:t xml:space="preserve">Eje temático III: Derechos sexuales y reproductivos. Aportes para la reflexión en contextos socio-educativos diversos </w:t>
      </w:r>
    </w:p>
    <w:p w:rsidR="00ED0369" w:rsidRDefault="00ED0369">
      <w:pPr>
        <w:pStyle w:val="NoSpacing"/>
        <w:spacing w:after="0" w:line="200" w:lineRule="atLeast"/>
      </w:pPr>
      <w:r>
        <w:t xml:space="preserve">Derechos sexuales y reproductivos, conquistas y desafíos. Lecturas y aproximaciones sobre violencias de género, aborto, maternidades adolescentes. Repensar las instituciones, transversalizar la perspectiva de género. </w:t>
      </w:r>
      <w:r>
        <w:rPr>
          <w:rFonts w:cs="Tahoma"/>
          <w:sz w:val="24"/>
          <w:szCs w:val="24"/>
        </w:rPr>
        <w:t>Pedagogía decolonial y género: desafíos para la producción de conocimientos.</w:t>
      </w:r>
    </w:p>
    <w:p w:rsidR="00ED0369" w:rsidRDefault="00ED0369">
      <w:pPr>
        <w:pStyle w:val="normal0"/>
        <w:spacing w:after="0" w:line="200" w:lineRule="atLeast"/>
        <w:jc w:val="both"/>
      </w:pPr>
    </w:p>
    <w:p w:rsidR="00ED0369" w:rsidRDefault="00ED0369">
      <w:pPr>
        <w:pStyle w:val="Predeterminado"/>
        <w:spacing w:after="0" w:line="200" w:lineRule="atLeast"/>
        <w:jc w:val="both"/>
      </w:pPr>
      <w:r>
        <w:rPr>
          <w:rFonts w:ascii="Times New Roman" w:hAnsi="Times New Roman" w:cs="Century Gothic"/>
          <w:b/>
          <w:bCs/>
          <w:lang w:val="es-ES"/>
        </w:rPr>
        <w:t>Metodología</w:t>
      </w:r>
    </w:p>
    <w:p w:rsidR="00ED0369" w:rsidRDefault="00ED0369">
      <w:pPr>
        <w:pStyle w:val="Predeterminado"/>
        <w:spacing w:after="0" w:line="200" w:lineRule="atLeast"/>
        <w:jc w:val="both"/>
      </w:pPr>
      <w:r>
        <w:rPr>
          <w:rFonts w:ascii="Times New Roman" w:hAnsi="Times New Roman" w:cs="Century Gothic"/>
          <w:lang w:val="es-ES"/>
        </w:rPr>
        <w:t xml:space="preserve">Al tratarse de un seminario, la metodología tenderá a profundizar en un campo de problemas acercándose a una serie de lecturas que a modo de caja de herramientas aporten categorías para la construcción de una mirada crítica para leer los procesos que en el tienen lugar.  Se profundizará especialmente en este seminario en el análisis de temáticas y experiencias vinculadas con los espacios de Pasantía. </w:t>
      </w:r>
    </w:p>
    <w:p w:rsidR="00ED0369" w:rsidRDefault="00ED0369">
      <w:pPr>
        <w:pStyle w:val="Predeterminado"/>
        <w:spacing w:after="0" w:line="200" w:lineRule="atLeast"/>
        <w:jc w:val="both"/>
      </w:pPr>
      <w:r>
        <w:rPr>
          <w:rFonts w:ascii="Times New Roman" w:hAnsi="Times New Roman" w:cs="Century Gothic"/>
          <w:lang w:val="es-ES"/>
        </w:rPr>
        <w:t>Al tomar los aportes de la pedagogía crítica y el feminismo, se podría mencionar que las orientaciones didáctico-pedagógicas deberían “propiciar el dominio sobre los múltiples formas de conocimiento, incluyendo la experiencia como fuente válida, el ejercicio de la propia voz, la discusión de la autoridad y las fuentes de autorización, la centralidad de la posición antes que la esencialización de las relaciones de poder” (Morgade; 2011; 35). De este modo, se propone que el espacio del seminario debiera generar dinámicas que permitan acompañar el proceso de lectura crítica , transferir las herramientas conceptuales al análisis de la coyuntura, potenciar la producción de nuevos sentidos y la autonomía en la construcción de argumentaciones que tensionen el status quo y desafíen los marcos instituidos.   Como</w:t>
      </w:r>
      <w:r>
        <w:rPr>
          <w:rFonts w:ascii="Times New Roman" w:eastAsia="Times New Roman" w:hAnsi="Times New Roman" w:cs="Century Gothic"/>
          <w:lang w:val="es-ES"/>
        </w:rPr>
        <w:t xml:space="preserve"> </w:t>
      </w:r>
      <w:r>
        <w:rPr>
          <w:rFonts w:ascii="Times New Roman" w:hAnsi="Times New Roman" w:cs="Century Gothic"/>
          <w:lang w:val="es-ES"/>
        </w:rPr>
        <w:t>parte</w:t>
      </w:r>
      <w:r>
        <w:rPr>
          <w:rFonts w:ascii="Times New Roman" w:eastAsia="Times New Roman" w:hAnsi="Times New Roman" w:cs="Century Gothic"/>
          <w:lang w:val="es-ES"/>
        </w:rPr>
        <w:t xml:space="preserve"> </w:t>
      </w:r>
      <w:r>
        <w:rPr>
          <w:rFonts w:ascii="Times New Roman" w:hAnsi="Times New Roman" w:cs="Century Gothic"/>
          <w:lang w:val="es-ES"/>
        </w:rPr>
        <w:t>de</w:t>
      </w:r>
      <w:r>
        <w:rPr>
          <w:rFonts w:ascii="Times New Roman" w:eastAsia="Times New Roman" w:hAnsi="Times New Roman" w:cs="Century Gothic"/>
          <w:lang w:val="es-ES"/>
        </w:rPr>
        <w:t xml:space="preserve"> </w:t>
      </w:r>
      <w:r>
        <w:rPr>
          <w:rFonts w:ascii="Times New Roman" w:hAnsi="Times New Roman" w:cs="Century Gothic"/>
          <w:lang w:val="es-ES"/>
        </w:rPr>
        <w:t>la</w:t>
      </w:r>
      <w:r>
        <w:rPr>
          <w:rFonts w:ascii="Times New Roman" w:eastAsia="Times New Roman" w:hAnsi="Times New Roman" w:cs="Century Gothic"/>
          <w:lang w:val="es-ES"/>
        </w:rPr>
        <w:t xml:space="preserve"> </w:t>
      </w:r>
      <w:r>
        <w:rPr>
          <w:rFonts w:ascii="Times New Roman" w:hAnsi="Times New Roman" w:cs="Century Gothic"/>
          <w:lang w:val="es-ES"/>
        </w:rPr>
        <w:t>estrategia</w:t>
      </w:r>
      <w:r>
        <w:rPr>
          <w:rFonts w:ascii="Times New Roman" w:eastAsia="Times New Roman" w:hAnsi="Times New Roman" w:cs="Century Gothic"/>
          <w:lang w:val="es-ES"/>
        </w:rPr>
        <w:t xml:space="preserve"> </w:t>
      </w:r>
      <w:r>
        <w:rPr>
          <w:rFonts w:ascii="Times New Roman" w:hAnsi="Times New Roman" w:cs="Century Gothic"/>
          <w:lang w:val="es-ES"/>
        </w:rPr>
        <w:t>pedagógica</w:t>
      </w:r>
      <w:r>
        <w:rPr>
          <w:rFonts w:ascii="Times New Roman" w:eastAsia="Times New Roman" w:hAnsi="Times New Roman" w:cs="Century Gothic"/>
          <w:lang w:val="es-ES"/>
        </w:rPr>
        <w:t xml:space="preserve"> </w:t>
      </w:r>
      <w:r>
        <w:rPr>
          <w:rFonts w:ascii="Times New Roman" w:hAnsi="Times New Roman" w:cs="Century Gothic"/>
          <w:lang w:val="es-ES"/>
        </w:rPr>
        <w:t>se</w:t>
      </w:r>
      <w:r>
        <w:rPr>
          <w:rFonts w:ascii="Times New Roman" w:eastAsia="Times New Roman" w:hAnsi="Times New Roman" w:cs="Century Gothic"/>
          <w:lang w:val="es-ES"/>
        </w:rPr>
        <w:t xml:space="preserve"> </w:t>
      </w:r>
      <w:r>
        <w:rPr>
          <w:rFonts w:ascii="Times New Roman" w:hAnsi="Times New Roman" w:cs="Century Gothic"/>
          <w:lang w:val="es-ES"/>
        </w:rPr>
        <w:t>acompañará</w:t>
      </w:r>
      <w:r>
        <w:rPr>
          <w:rFonts w:ascii="Times New Roman" w:eastAsia="Times New Roman" w:hAnsi="Times New Roman" w:cs="Century Gothic"/>
          <w:lang w:val="es-ES"/>
        </w:rPr>
        <w:t xml:space="preserve"> </w:t>
      </w:r>
      <w:r>
        <w:rPr>
          <w:rFonts w:ascii="Times New Roman" w:hAnsi="Times New Roman" w:cs="Century Gothic"/>
          <w:lang w:val="es-ES"/>
        </w:rPr>
        <w:t>la</w:t>
      </w:r>
      <w:r>
        <w:rPr>
          <w:rFonts w:ascii="Times New Roman" w:eastAsia="Times New Roman" w:hAnsi="Times New Roman" w:cs="Century Gothic"/>
          <w:lang w:val="es-ES"/>
        </w:rPr>
        <w:t xml:space="preserve"> </w:t>
      </w:r>
      <w:r>
        <w:rPr>
          <w:rFonts w:ascii="Times New Roman" w:hAnsi="Times New Roman" w:cs="Century Gothic"/>
          <w:lang w:val="es-ES"/>
        </w:rPr>
        <w:t>lectura</w:t>
      </w:r>
      <w:r>
        <w:rPr>
          <w:rFonts w:ascii="Times New Roman" w:eastAsia="Times New Roman" w:hAnsi="Times New Roman" w:cs="Century Gothic"/>
          <w:lang w:val="es-ES"/>
        </w:rPr>
        <w:t xml:space="preserve"> </w:t>
      </w:r>
      <w:r>
        <w:rPr>
          <w:rFonts w:ascii="Times New Roman" w:hAnsi="Times New Roman" w:cs="Century Gothic"/>
          <w:lang w:val="es-ES"/>
        </w:rPr>
        <w:t>y</w:t>
      </w:r>
      <w:r>
        <w:rPr>
          <w:rFonts w:ascii="Times New Roman" w:eastAsia="Times New Roman" w:hAnsi="Times New Roman" w:cs="Century Gothic"/>
          <w:lang w:val="es-ES"/>
        </w:rPr>
        <w:t xml:space="preserve"> </w:t>
      </w:r>
      <w:r>
        <w:rPr>
          <w:rFonts w:ascii="Times New Roman" w:hAnsi="Times New Roman" w:cs="Century Gothic"/>
          <w:lang w:val="es-ES"/>
        </w:rPr>
        <w:t>discusión</w:t>
      </w:r>
      <w:r>
        <w:rPr>
          <w:rFonts w:ascii="Times New Roman" w:eastAsia="Times New Roman" w:hAnsi="Times New Roman" w:cs="Century Gothic"/>
          <w:lang w:val="es-ES"/>
        </w:rPr>
        <w:t xml:space="preserve"> </w:t>
      </w:r>
      <w:r>
        <w:rPr>
          <w:rFonts w:ascii="Times New Roman" w:hAnsi="Times New Roman" w:cs="Century Gothic"/>
          <w:lang w:val="es-ES"/>
        </w:rPr>
        <w:t>de</w:t>
      </w:r>
      <w:r>
        <w:rPr>
          <w:rFonts w:ascii="Times New Roman" w:eastAsia="Times New Roman" w:hAnsi="Times New Roman" w:cs="Century Gothic"/>
          <w:lang w:val="es-ES"/>
        </w:rPr>
        <w:t xml:space="preserve"> </w:t>
      </w:r>
      <w:r>
        <w:rPr>
          <w:rFonts w:ascii="Times New Roman" w:hAnsi="Times New Roman" w:cs="Century Gothic"/>
          <w:lang w:val="es-ES"/>
        </w:rPr>
        <w:t>los</w:t>
      </w:r>
      <w:r>
        <w:rPr>
          <w:rFonts w:ascii="Times New Roman" w:eastAsia="Times New Roman" w:hAnsi="Times New Roman" w:cs="Century Gothic"/>
          <w:lang w:val="es-ES"/>
        </w:rPr>
        <w:t xml:space="preserve"> </w:t>
      </w:r>
      <w:r>
        <w:rPr>
          <w:rFonts w:ascii="Times New Roman" w:hAnsi="Times New Roman" w:cs="Century Gothic"/>
          <w:lang w:val="es-ES"/>
        </w:rPr>
        <w:t>materiales</w:t>
      </w:r>
      <w:r>
        <w:rPr>
          <w:rFonts w:ascii="Times New Roman" w:eastAsia="Times New Roman" w:hAnsi="Times New Roman" w:cs="Century Gothic"/>
          <w:lang w:val="es-ES"/>
        </w:rPr>
        <w:t xml:space="preserve"> </w:t>
      </w:r>
      <w:r>
        <w:rPr>
          <w:rFonts w:ascii="Times New Roman" w:hAnsi="Times New Roman" w:cs="Century Gothic"/>
          <w:lang w:val="es-ES"/>
        </w:rPr>
        <w:t>bibliográficos</w:t>
      </w:r>
      <w:r>
        <w:rPr>
          <w:rFonts w:ascii="Times New Roman" w:eastAsia="Times New Roman" w:hAnsi="Times New Roman" w:cs="Century Gothic"/>
          <w:lang w:val="es-ES"/>
        </w:rPr>
        <w:t xml:space="preserve"> </w:t>
      </w:r>
      <w:r>
        <w:rPr>
          <w:rFonts w:ascii="Times New Roman" w:hAnsi="Times New Roman" w:cs="Century Gothic"/>
          <w:lang w:val="es-ES"/>
        </w:rPr>
        <w:t>con</w:t>
      </w:r>
      <w:r>
        <w:rPr>
          <w:rFonts w:ascii="Times New Roman" w:eastAsia="Times New Roman" w:hAnsi="Times New Roman" w:cs="Century Gothic"/>
          <w:lang w:val="es-ES"/>
        </w:rPr>
        <w:t xml:space="preserve"> </w:t>
      </w:r>
      <w:r>
        <w:rPr>
          <w:rFonts w:ascii="Times New Roman" w:hAnsi="Times New Roman" w:cs="Century Gothic"/>
          <w:lang w:val="es-ES"/>
        </w:rPr>
        <w:t>materiales</w:t>
      </w:r>
      <w:r>
        <w:rPr>
          <w:rFonts w:ascii="Times New Roman" w:eastAsia="Times New Roman" w:hAnsi="Times New Roman" w:cs="Century Gothic"/>
          <w:lang w:val="es-ES"/>
        </w:rPr>
        <w:t xml:space="preserve"> </w:t>
      </w:r>
      <w:r>
        <w:rPr>
          <w:rFonts w:ascii="Times New Roman" w:hAnsi="Times New Roman" w:cs="Century Gothic"/>
          <w:lang w:val="es-ES"/>
        </w:rPr>
        <w:t>literarios,</w:t>
      </w:r>
      <w:r>
        <w:rPr>
          <w:rFonts w:ascii="Times New Roman" w:eastAsia="Times New Roman" w:hAnsi="Times New Roman" w:cs="Century Gothic"/>
          <w:lang w:val="es-ES"/>
        </w:rPr>
        <w:t xml:space="preserve"> </w:t>
      </w:r>
      <w:r>
        <w:rPr>
          <w:rFonts w:ascii="Times New Roman" w:hAnsi="Times New Roman" w:cs="Century Gothic"/>
          <w:lang w:val="es-ES"/>
        </w:rPr>
        <w:t>cinematográficos,</w:t>
      </w:r>
      <w:r>
        <w:rPr>
          <w:rFonts w:ascii="Times New Roman" w:eastAsia="Times New Roman" w:hAnsi="Times New Roman" w:cs="Century Gothic"/>
          <w:lang w:val="es-ES"/>
        </w:rPr>
        <w:t xml:space="preserve"> </w:t>
      </w:r>
      <w:r>
        <w:rPr>
          <w:rFonts w:ascii="Times New Roman" w:hAnsi="Times New Roman" w:cs="Century Gothic"/>
          <w:lang w:val="es-ES"/>
        </w:rPr>
        <w:t>campañas</w:t>
      </w:r>
      <w:r>
        <w:rPr>
          <w:rFonts w:ascii="Times New Roman" w:eastAsia="Times New Roman" w:hAnsi="Times New Roman" w:cs="Century Gothic"/>
          <w:lang w:val="es-ES"/>
        </w:rPr>
        <w:t xml:space="preserve"> </w:t>
      </w:r>
      <w:r>
        <w:rPr>
          <w:rFonts w:ascii="Times New Roman" w:hAnsi="Times New Roman" w:cs="Century Gothic"/>
          <w:lang w:val="es-ES"/>
        </w:rPr>
        <w:t>publicitarias,</w:t>
      </w:r>
      <w:r>
        <w:rPr>
          <w:rFonts w:ascii="Times New Roman" w:eastAsia="Times New Roman" w:hAnsi="Times New Roman" w:cs="Century Gothic"/>
          <w:lang w:val="es-ES"/>
        </w:rPr>
        <w:t xml:space="preserve"> </w:t>
      </w:r>
      <w:r>
        <w:rPr>
          <w:rFonts w:ascii="Times New Roman" w:hAnsi="Times New Roman" w:cs="Century Gothic"/>
          <w:lang w:val="es-ES"/>
        </w:rPr>
        <w:t>programas</w:t>
      </w:r>
      <w:r>
        <w:rPr>
          <w:rFonts w:ascii="Times New Roman" w:eastAsia="Times New Roman" w:hAnsi="Times New Roman" w:cs="Century Gothic"/>
          <w:lang w:val="es-ES"/>
        </w:rPr>
        <w:t xml:space="preserve"> </w:t>
      </w:r>
      <w:r>
        <w:rPr>
          <w:rFonts w:ascii="Times New Roman" w:hAnsi="Times New Roman" w:cs="Century Gothic"/>
          <w:lang w:val="es-ES"/>
        </w:rPr>
        <w:t>y</w:t>
      </w:r>
      <w:r>
        <w:rPr>
          <w:rFonts w:ascii="Times New Roman" w:eastAsia="Times New Roman" w:hAnsi="Times New Roman" w:cs="Century Gothic"/>
          <w:lang w:val="es-ES"/>
        </w:rPr>
        <w:t xml:space="preserve"> </w:t>
      </w:r>
      <w:r>
        <w:rPr>
          <w:rFonts w:ascii="Times New Roman" w:hAnsi="Times New Roman" w:cs="Century Gothic"/>
          <w:lang w:val="es-ES"/>
        </w:rPr>
        <w:t>materiales</w:t>
      </w:r>
      <w:r>
        <w:rPr>
          <w:rFonts w:ascii="Times New Roman" w:eastAsia="Times New Roman" w:hAnsi="Times New Roman" w:cs="Century Gothic"/>
          <w:lang w:val="es-ES"/>
        </w:rPr>
        <w:t xml:space="preserve"> </w:t>
      </w:r>
      <w:r>
        <w:rPr>
          <w:rFonts w:ascii="Times New Roman" w:hAnsi="Times New Roman" w:cs="Century Gothic"/>
          <w:lang w:val="es-ES"/>
        </w:rPr>
        <w:t>educativos.</w:t>
      </w:r>
      <w:r>
        <w:rPr>
          <w:rFonts w:ascii="Times New Roman" w:eastAsia="Times New Roman" w:hAnsi="Times New Roman" w:cs="Century Gothic"/>
          <w:lang w:val="es-ES"/>
        </w:rPr>
        <w:t xml:space="preserve"> </w:t>
      </w:r>
      <w:r>
        <w:rPr>
          <w:rFonts w:ascii="Times New Roman" w:hAnsi="Times New Roman" w:cs="Times New Roman"/>
        </w:rPr>
        <w:t xml:space="preserve">Además están previstas la realización de mesas redondas sobre temáticas vinculadas con el seminario, exposición de experiencias a cargo de invitados/as/xs. </w:t>
      </w:r>
    </w:p>
    <w:p w:rsidR="00ED0369" w:rsidRDefault="00ED0369">
      <w:pPr>
        <w:pStyle w:val="Predeterminado"/>
        <w:spacing w:after="0" w:line="200" w:lineRule="atLeast"/>
        <w:jc w:val="both"/>
      </w:pPr>
    </w:p>
    <w:p w:rsidR="00ED0369" w:rsidRDefault="00ED0369">
      <w:pPr>
        <w:pStyle w:val="Predeterminado"/>
        <w:spacing w:after="0" w:line="200" w:lineRule="atLeast"/>
        <w:jc w:val="both"/>
      </w:pPr>
    </w:p>
    <w:p w:rsidR="00ED0369" w:rsidRDefault="00ED0369">
      <w:pPr>
        <w:pStyle w:val="Predeterminado"/>
        <w:spacing w:after="0" w:line="200" w:lineRule="atLeast"/>
        <w:jc w:val="both"/>
      </w:pPr>
    </w:p>
    <w:p w:rsidR="00ED0369" w:rsidRDefault="00ED0369">
      <w:pPr>
        <w:pStyle w:val="Predeterminado"/>
        <w:spacing w:after="0" w:line="200" w:lineRule="atLeast"/>
        <w:jc w:val="both"/>
      </w:pPr>
    </w:p>
    <w:p w:rsidR="00ED0369" w:rsidRDefault="00ED0369">
      <w:pPr>
        <w:pStyle w:val="Predeterminado"/>
        <w:spacing w:after="0" w:line="200" w:lineRule="atLeast"/>
        <w:jc w:val="both"/>
      </w:pPr>
    </w:p>
    <w:p w:rsidR="00ED0369" w:rsidRDefault="00ED0369">
      <w:pPr>
        <w:pStyle w:val="Predeterminado"/>
        <w:spacing w:after="0" w:line="200" w:lineRule="atLeast"/>
        <w:jc w:val="both"/>
      </w:pPr>
      <w:r>
        <w:rPr>
          <w:rFonts w:ascii="Times New Roman" w:hAnsi="Times New Roman" w:cs="Times New Roman"/>
          <w:b/>
          <w:bCs/>
          <w:lang w:val="es-ES"/>
        </w:rPr>
        <w:t>Bibliografía:</w:t>
      </w:r>
    </w:p>
    <w:p w:rsidR="00ED0369" w:rsidRDefault="00ED0369">
      <w:pPr>
        <w:pStyle w:val="NoSpacing"/>
        <w:spacing w:after="0" w:line="200" w:lineRule="atLeast"/>
        <w:jc w:val="both"/>
      </w:pPr>
      <w:r>
        <w:rPr>
          <w:rFonts w:cs="Times New Roman"/>
          <w:b/>
          <w:color w:val="000000"/>
          <w:sz w:val="24"/>
          <w:szCs w:val="24"/>
          <w:lang w:val="es-ES" w:eastAsia="ar-SA" w:bidi="ar-SA"/>
        </w:rPr>
        <w:t>Eje temático I: Sexualidades, género e instituciones.</w:t>
      </w:r>
    </w:p>
    <w:p w:rsidR="00ED0369" w:rsidRDefault="00ED0369">
      <w:pPr>
        <w:pStyle w:val="normal0"/>
        <w:spacing w:after="0" w:line="200" w:lineRule="atLeast"/>
        <w:jc w:val="both"/>
      </w:pPr>
      <w:r>
        <w:rPr>
          <w:rFonts w:ascii="Times New Roman" w:hAnsi="Times New Roman" w:cs="Times New Roman"/>
          <w:lang w:val="es-ES" w:eastAsia="ar-SA"/>
        </w:rPr>
        <w:t>Butler, Judith (2002) Cuerpos que importan: sobre los límites materiales y discursivos. Buenos Aires: Paidós.</w:t>
      </w:r>
    </w:p>
    <w:p w:rsidR="00ED0369" w:rsidRDefault="00ED0369">
      <w:pPr>
        <w:pStyle w:val="normal0"/>
        <w:spacing w:after="0" w:line="200" w:lineRule="atLeast"/>
        <w:jc w:val="both"/>
      </w:pPr>
      <w:r>
        <w:rPr>
          <w:rFonts w:ascii="Times New Roman" w:hAnsi="Times New Roman" w:cs="Times New Roman"/>
          <w:lang w:val="es-ES" w:eastAsia="ar-SA"/>
        </w:rPr>
        <w:t>Citro, Silvia (coord.) Cuerpos plurales. Antropología de y desde los cuerpos. Ed. Biblos, Buenos Aires, 2010. (Capítulo 1)</w:t>
      </w:r>
    </w:p>
    <w:p w:rsidR="00ED0369" w:rsidRDefault="00ED0369">
      <w:pPr>
        <w:pStyle w:val="Predeterminado"/>
        <w:spacing w:after="0" w:line="200" w:lineRule="atLeast"/>
        <w:ind w:right="-161"/>
      </w:pPr>
      <w:r>
        <w:rPr>
          <w:rFonts w:ascii="Times New Roman" w:hAnsi="Times New Roman"/>
        </w:rPr>
        <w:t xml:space="preserve">Gayle Rubin (1984) Reflexionando sobre el sexo: notas para una teoría radical de la sexualidad. Disponeble en: </w:t>
      </w:r>
      <w:hyperlink r:id="rId7">
        <w:r>
          <w:rPr>
            <w:rStyle w:val="EnlacedeInternet"/>
            <w:rFonts w:ascii="Times New Roman" w:hAnsi="Times New Roman" w:cs="Cambria"/>
          </w:rPr>
          <w:t>www.cholonautas.edu.pe</w:t>
        </w:r>
      </w:hyperlink>
      <w:r>
        <w:rPr>
          <w:rFonts w:ascii="Times New Roman" w:hAnsi="Times New Roman"/>
        </w:rPr>
        <w:t>. Consultado mayo 2013</w:t>
      </w:r>
    </w:p>
    <w:p w:rsidR="00ED0369" w:rsidRDefault="00ED0369">
      <w:pPr>
        <w:pStyle w:val="normal0"/>
        <w:spacing w:after="0" w:line="200" w:lineRule="atLeast"/>
        <w:jc w:val="both"/>
      </w:pPr>
      <w:r>
        <w:rPr>
          <w:rFonts w:ascii="Times New Roman" w:hAnsi="Times New Roman" w:cs="Times New Roman"/>
          <w:lang w:val="es-ES" w:eastAsia="ar-SA"/>
        </w:rPr>
        <w:t>Elizalde, Silvia (2011) Jóvenes en cuestión. Configuraciones de género y sexualidad en la cultura. Buenos Aires: Biblos.</w:t>
      </w:r>
    </w:p>
    <w:p w:rsidR="00ED0369" w:rsidRDefault="00ED0369">
      <w:pPr>
        <w:pStyle w:val="normal0"/>
        <w:spacing w:after="0" w:line="200" w:lineRule="atLeast"/>
        <w:jc w:val="both"/>
      </w:pPr>
      <w:r>
        <w:rPr>
          <w:rFonts w:ascii="Times New Roman" w:hAnsi="Times New Roman" w:cs="Times New Roman"/>
          <w:lang w:val="es-ES" w:eastAsia="ar-SA"/>
        </w:rPr>
        <w:t>Foucault, Michel (1999) Historia de la sexualidad. Vol I. La voluntad del saber. Buenos Aires: Siglo XXI editores 27ª. (capítulo I)</w:t>
      </w:r>
    </w:p>
    <w:p w:rsidR="00ED0369" w:rsidRDefault="00ED0369">
      <w:pPr>
        <w:pStyle w:val="normal0"/>
        <w:spacing w:after="0" w:line="200" w:lineRule="atLeast"/>
        <w:jc w:val="both"/>
      </w:pPr>
      <w:r>
        <w:rPr>
          <w:rFonts w:ascii="Times New Roman" w:hAnsi="Times New Roman" w:cs="Verdana"/>
          <w:lang w:eastAsia="es-AR"/>
        </w:rPr>
        <w:t>Kantor, D. (2008) Variaciones para educar adolescentes y jóvenes. Buenos Aires, Del Estante Editorial. Capítulo IV: “El mandato de la prevención en discusión”.</w:t>
      </w:r>
    </w:p>
    <w:p w:rsidR="00ED0369" w:rsidRDefault="00ED0369">
      <w:pPr>
        <w:pStyle w:val="normal0"/>
        <w:spacing w:after="0" w:line="200" w:lineRule="atLeast"/>
        <w:jc w:val="both"/>
      </w:pPr>
      <w:r>
        <w:rPr>
          <w:rFonts w:ascii="Times New Roman" w:hAnsi="Times New Roman" w:cs="Times New Roman"/>
          <w:lang w:val="es-ES" w:eastAsia="ar-SA"/>
        </w:rPr>
        <w:t>Lopes Louro, Guacira (1999), “Pedagogías de la sexualidad” en Guacira Lopes Louro (Comp.) O Corpo educado. Pedagogias da sexualidade. Belo Horizonte, Ed. Autentica.</w:t>
      </w:r>
    </w:p>
    <w:p w:rsidR="00ED0369" w:rsidRDefault="00ED0369">
      <w:pPr>
        <w:pStyle w:val="normal0"/>
        <w:spacing w:after="0" w:line="200" w:lineRule="atLeast"/>
        <w:jc w:val="both"/>
      </w:pPr>
      <w:r>
        <w:rPr>
          <w:rFonts w:ascii="Times New Roman" w:hAnsi="Times New Roman" w:cs="Times New Roman"/>
          <w:color w:val="222222"/>
          <w:lang w:val="es-MX"/>
        </w:rPr>
        <w:t>Meza Lavaniegos, G. (1997) La medicalización de la sexualidad en la prohibicion del aborto. Revista de Estudios de Género La Ventana. Universidad de Guadalajara. pp. 190 a 200</w:t>
      </w:r>
    </w:p>
    <w:p w:rsidR="00ED0369" w:rsidRDefault="00ED0369">
      <w:pPr>
        <w:pStyle w:val="normal0"/>
        <w:spacing w:after="0" w:line="200" w:lineRule="atLeast"/>
        <w:ind w:right="-161"/>
      </w:pPr>
    </w:p>
    <w:p w:rsidR="00ED0369" w:rsidRDefault="00ED0369">
      <w:pPr>
        <w:pStyle w:val="normal0"/>
        <w:spacing w:after="0" w:line="200" w:lineRule="atLeast"/>
        <w:ind w:right="-161"/>
      </w:pPr>
    </w:p>
    <w:p w:rsidR="00ED0369" w:rsidRDefault="00ED0369">
      <w:pPr>
        <w:pStyle w:val="normal0"/>
        <w:spacing w:after="0" w:line="200" w:lineRule="atLeast"/>
        <w:ind w:right="-161"/>
        <w:jc w:val="both"/>
      </w:pPr>
      <w:r>
        <w:rPr>
          <w:rFonts w:ascii="Times New Roman" w:hAnsi="Times New Roman" w:cs="Times New Roman"/>
          <w:b/>
          <w:lang w:val="es-ES" w:eastAsia="ar-SA"/>
        </w:rPr>
        <w:t>Eje temático II: Educación Sexual: conquistas, disputas y desafíos para la inclusión de la perspectiva de género</w:t>
      </w:r>
    </w:p>
    <w:p w:rsidR="00ED0369" w:rsidRDefault="00ED0369">
      <w:pPr>
        <w:pStyle w:val="normal0"/>
        <w:spacing w:after="0" w:line="200" w:lineRule="atLeast"/>
        <w:ind w:right="-161"/>
        <w:jc w:val="both"/>
      </w:pPr>
      <w:r>
        <w:rPr>
          <w:rFonts w:ascii="Times New Roman" w:hAnsi="Times New Roman" w:cs="Times New Roman"/>
          <w:lang w:val="es-ES" w:eastAsia="ar-SA"/>
        </w:rPr>
        <w:t>Britzman, Deborah (1999) “Curiosidade, sexualidade e curriculo” en Lopes Louro, Guacira. O corpo educado. Pedagogias da sexualidade. Belo Horizonte: Autentica.</w:t>
      </w:r>
    </w:p>
    <w:p w:rsidR="00ED0369" w:rsidRDefault="00ED0369">
      <w:pPr>
        <w:pStyle w:val="normal0"/>
        <w:spacing w:after="0" w:line="200" w:lineRule="atLeast"/>
        <w:ind w:right="-161"/>
      </w:pPr>
      <w:r>
        <w:rPr>
          <w:rFonts w:ascii="Times New Roman" w:hAnsi="Times New Roman" w:cs="Times New Roman"/>
          <w:lang w:val="es-ES" w:eastAsia="ar-SA"/>
        </w:rPr>
        <w:t xml:space="preserve">Canciani, Evangelina (2007) Indagaciones en torno a la problemática de la sexualidad en el terreno de la educación: relevamiento de antecedentes teóricos y programas de educación sexual. Ministerio de Salud de la Nación. </w:t>
      </w:r>
    </w:p>
    <w:p w:rsidR="00ED0369" w:rsidRDefault="00ED0369">
      <w:pPr>
        <w:pStyle w:val="normal0"/>
        <w:spacing w:after="0" w:line="200" w:lineRule="atLeast"/>
        <w:jc w:val="both"/>
      </w:pPr>
      <w:r>
        <w:rPr>
          <w:rFonts w:ascii="Times New Roman" w:hAnsi="Times New Roman" w:cs="Times New Roman"/>
          <w:color w:val="222222"/>
          <w:lang w:val="es-MX" w:eastAsia="ar-SA"/>
        </w:rPr>
        <w:t xml:space="preserve">Da Cunha, M. (2015) “El currículum como Speculum” en Bach, AM (Coord.) </w:t>
      </w:r>
      <w:r>
        <w:rPr>
          <w:rFonts w:ascii="Times New Roman" w:hAnsi="Times New Roman" w:cs="Times New Roman"/>
          <w:i/>
          <w:color w:val="222222"/>
          <w:lang w:val="es-MX" w:eastAsia="ar-SA"/>
        </w:rPr>
        <w:t>Para una didáctica con perspectiva de género.</w:t>
      </w:r>
      <w:r>
        <w:rPr>
          <w:rFonts w:ascii="Times New Roman" w:hAnsi="Times New Roman" w:cs="Times New Roman"/>
          <w:color w:val="222222"/>
          <w:lang w:val="es-MX" w:eastAsia="ar-SA"/>
        </w:rPr>
        <w:t xml:space="preserve"> Buenos Aires:. UNSAM Edita.</w:t>
      </w:r>
    </w:p>
    <w:p w:rsidR="00ED0369" w:rsidRDefault="00ED0369">
      <w:pPr>
        <w:pStyle w:val="Encabezado3"/>
        <w:numPr>
          <w:ilvl w:val="2"/>
          <w:numId w:val="2"/>
        </w:numPr>
        <w:spacing w:before="0" w:after="0" w:line="200" w:lineRule="atLeast"/>
        <w:ind w:left="0" w:firstLine="0"/>
        <w:jc w:val="both"/>
      </w:pPr>
      <w:r>
        <w:rPr>
          <w:rFonts w:ascii="Times New Roman" w:hAnsi="Times New Roman" w:cs="Times New Roman"/>
          <w:b w:val="0"/>
          <w:bCs w:val="0"/>
          <w:sz w:val="24"/>
          <w:szCs w:val="24"/>
          <w:lang w:val="es-ES" w:eastAsia="ar-SA" w:bidi="ar-SA"/>
        </w:rPr>
        <w:t>Díaz villa, gabi (2012) Una pedagogía para la ESI (Educación Sexual Integral, Ley 26.150/06) Revista Cuadernos de Educación, Córdoba: Universidad Nacional de Córdoba.</w:t>
      </w:r>
    </w:p>
    <w:p w:rsidR="00ED0369" w:rsidRDefault="00ED0369">
      <w:pPr>
        <w:pStyle w:val="normal0"/>
        <w:spacing w:after="0" w:line="200" w:lineRule="atLeast"/>
        <w:jc w:val="both"/>
      </w:pPr>
      <w:r>
        <w:rPr>
          <w:rFonts w:ascii="Times New Roman" w:hAnsi="Times New Roman" w:cs="Times New Roman"/>
          <w:lang w:val="es-ES" w:eastAsia="ar-SA"/>
        </w:rPr>
        <w:t>Lavigne, Luciana (</w:t>
      </w:r>
      <w:r>
        <w:rPr>
          <w:rFonts w:ascii="Times New Roman" w:hAnsi="Times New Roman" w:cs="Century Gothic"/>
          <w:lang w:val="es-ES" w:eastAsia="ar-SA"/>
        </w:rPr>
        <w:t xml:space="preserve">2011) “Las sexualidades juveniles en la educación sexual integral. En: Elizalde, S. (2001) Los jóvenes en cuestión. Configuraciones de género y sexualidad en la cultura. Biblos. Buenos Aires </w:t>
      </w:r>
    </w:p>
    <w:p w:rsidR="00ED0369" w:rsidRDefault="00ED0369">
      <w:pPr>
        <w:pStyle w:val="normal0"/>
        <w:spacing w:after="0" w:line="200" w:lineRule="atLeast"/>
        <w:jc w:val="both"/>
      </w:pPr>
      <w:r>
        <w:rPr>
          <w:rFonts w:ascii="Times New Roman" w:hAnsi="Times New Roman" w:cs="Times New Roman"/>
          <w:lang w:val="es-ES" w:eastAsia="ar-SA"/>
        </w:rPr>
        <w:t>Morgade, Graciela y (comp.) (2011) Toda educación es sexual. Buenos Aires: La Crujía (Selección)</w:t>
      </w:r>
    </w:p>
    <w:p w:rsidR="00ED0369" w:rsidRDefault="00ED0369">
      <w:pPr>
        <w:pStyle w:val="normal0"/>
        <w:spacing w:after="0" w:line="200" w:lineRule="atLeast"/>
        <w:jc w:val="both"/>
      </w:pPr>
      <w:r>
        <w:t xml:space="preserve">Pechin, Juan (2013) </w:t>
      </w:r>
      <w:r>
        <w:rPr>
          <w:i/>
          <w:iCs/>
        </w:rPr>
        <w:t>De la indicación de “perversiones” por parte de la(s) norma(s) a la “perversión” política de la (a)normalización: ¿sujetxs de deseo como sujetxs de derecho?</w:t>
      </w:r>
      <w:r>
        <w:t xml:space="preserve"> En:  LES Online, Vol. 5, No 1.</w:t>
      </w:r>
    </w:p>
    <w:p w:rsidR="00ED0369" w:rsidRDefault="00ED0369">
      <w:pPr>
        <w:pStyle w:val="normal0"/>
        <w:spacing w:after="0" w:line="200" w:lineRule="atLeast"/>
        <w:jc w:val="both"/>
      </w:pPr>
      <w:r>
        <w:rPr>
          <w:rFonts w:ascii="Times New Roman" w:hAnsi="Times New Roman"/>
        </w:rPr>
        <w:t>http://www.lespt.org/lesonline/index.php?journal=lo&amp;page=article&amp;op=viewFile&amp;path%5B%5D=72&amp;path%5B%5D=65</w:t>
      </w:r>
    </w:p>
    <w:p w:rsidR="00ED0369" w:rsidRDefault="00ED0369">
      <w:pPr>
        <w:pStyle w:val="normal0"/>
        <w:spacing w:after="0" w:line="200" w:lineRule="atLeast"/>
        <w:jc w:val="both"/>
      </w:pPr>
    </w:p>
    <w:p w:rsidR="00ED0369" w:rsidRDefault="00ED0369">
      <w:pPr>
        <w:pStyle w:val="normal0"/>
        <w:spacing w:after="0" w:line="200" w:lineRule="atLeast"/>
        <w:jc w:val="both"/>
      </w:pPr>
      <w:r>
        <w:rPr>
          <w:rFonts w:ascii="Times New Roman" w:hAnsi="Times New Roman" w:cs="Times New Roman"/>
          <w:b/>
          <w:bCs/>
          <w:lang w:val="es-ES" w:eastAsia="ar-SA"/>
        </w:rPr>
        <w:t>Eje temático III</w:t>
      </w:r>
    </w:p>
    <w:p w:rsidR="00ED0369" w:rsidRDefault="00ED0369">
      <w:pPr>
        <w:pStyle w:val="Contenidodelatabla"/>
        <w:numPr>
          <w:ilvl w:val="0"/>
          <w:numId w:val="5"/>
        </w:numPr>
        <w:spacing w:after="0" w:line="200" w:lineRule="atLeast"/>
        <w:jc w:val="both"/>
      </w:pPr>
      <w:r>
        <w:rPr>
          <w:rFonts w:ascii="Times New Roman" w:hAnsi="Times New Roman" w:cs="Tahoma"/>
          <w:lang w:val="es-ES"/>
        </w:rPr>
        <w:t xml:space="preserve">Bidaseca, K. (2011). “Mujeres blancas buscando salvar a mujeres color cafe” desigualdad, colonialismo y feminismo poscolonial.  Andamios. Revista de Investigación Social. Vol.8 N 17. Unidad Autónoma de Ciudad de México. (pp-61-69) </w:t>
      </w:r>
    </w:p>
    <w:p w:rsidR="00ED0369" w:rsidRDefault="00ED0369">
      <w:pPr>
        <w:pStyle w:val="Contenidodelatabla"/>
        <w:numPr>
          <w:ilvl w:val="0"/>
          <w:numId w:val="5"/>
        </w:numPr>
        <w:spacing w:after="0" w:line="200" w:lineRule="atLeast"/>
        <w:jc w:val="both"/>
      </w:pPr>
      <w:r>
        <w:rPr>
          <w:rFonts w:ascii="Times New Roman" w:hAnsi="Times New Roman" w:cs="Times New Roman"/>
          <w:lang w:val="es-ES" w:eastAsia="ar-SA" w:bidi="ar-SA"/>
        </w:rPr>
        <w:t>Fainsod, Paula (2011) “Las tramas institucionales y sociales en las experiencias maternales. Reflexiones sobre maternidades adolescentes en contextos de marginalización urbana”   En: Felitti, Karina  (Coord.) Madre no hay una sola. Buenos Aires: CICCUS</w:t>
      </w:r>
    </w:p>
    <w:p w:rsidR="00ED0369" w:rsidRDefault="00ED0369">
      <w:pPr>
        <w:pStyle w:val="normal0"/>
        <w:numPr>
          <w:ilvl w:val="0"/>
          <w:numId w:val="5"/>
        </w:numPr>
        <w:spacing w:after="0" w:line="200" w:lineRule="atLeast"/>
        <w:jc w:val="both"/>
      </w:pPr>
      <w:r>
        <w:rPr>
          <w:rFonts w:ascii="Times New Roman" w:hAnsi="Times New Roman" w:cs="Times New Roman"/>
          <w:lang w:val="es-ES" w:eastAsia="ar-SA"/>
        </w:rPr>
        <w:t>Fernández, Ana María (2009) Las lógicas sexuales: amor, política, violencias  Buenos Aires: Nueva Visión</w:t>
      </w:r>
    </w:p>
    <w:p w:rsidR="00ED0369" w:rsidRDefault="00ED0369">
      <w:pPr>
        <w:pStyle w:val="ListParagraph"/>
        <w:numPr>
          <w:ilvl w:val="0"/>
          <w:numId w:val="5"/>
        </w:numPr>
        <w:spacing w:after="0" w:line="200" w:lineRule="atLeast"/>
        <w:jc w:val="both"/>
      </w:pPr>
      <w:r>
        <w:rPr>
          <w:rFonts w:ascii="Times New Roman" w:hAnsi="Times New Roman" w:cs="Tahoma"/>
          <w:lang w:val="es-ES" w:eastAsia="ar-SA" w:bidi="ar-SA"/>
        </w:rPr>
        <w:t>Fernandez, A.M (2009)  “Las diferencias desigualadas: multiplicidades, invenciones políticas y transdisciplina”. Nómadas,  Bogotá.  Disponible en internet: http://redalyc.uaemex.mx/src/inicio/ArtPdfRed.jsp?iCve=105112060003. ISSN: 0121-7550</w:t>
      </w:r>
    </w:p>
    <w:p w:rsidR="00ED0369" w:rsidRDefault="00ED0369">
      <w:pPr>
        <w:pStyle w:val="normal0"/>
        <w:numPr>
          <w:ilvl w:val="0"/>
          <w:numId w:val="5"/>
        </w:numPr>
        <w:spacing w:after="0" w:line="200" w:lineRule="atLeast"/>
        <w:jc w:val="both"/>
      </w:pPr>
      <w:r>
        <w:rPr>
          <w:rFonts w:ascii="Times New Roman" w:hAnsi="Times New Roman" w:cs="Times New Roman"/>
          <w:lang w:val="es-ES" w:eastAsia="ar-SA"/>
        </w:rPr>
        <w:t>Flores, V. (2011) Escribir contra sí misma: una micro-tecnología de subjetivación política” En:Espinosa Miñoso, Yuderkis (coord) (2010) Aproximaciones críticas a las prácticas teórico-políticas del feminismo latinoamericano. Vol, I. Buenos Aires: En la frontera</w:t>
      </w:r>
    </w:p>
    <w:p w:rsidR="00ED0369" w:rsidRDefault="00ED0369">
      <w:pPr>
        <w:pStyle w:val="normal0"/>
        <w:numPr>
          <w:ilvl w:val="0"/>
          <w:numId w:val="5"/>
        </w:numPr>
        <w:spacing w:after="0" w:line="200" w:lineRule="atLeast"/>
        <w:jc w:val="both"/>
      </w:pPr>
      <w:r>
        <w:rPr>
          <w:rFonts w:ascii="Times New Roman" w:hAnsi="Times New Roman" w:cs="Times New Roman"/>
          <w:lang w:val="es-ES" w:eastAsia="ar-SA"/>
        </w:rPr>
        <w:t>Gutierrez, María Alicia (2011) “Todo con la misma aguja: sexualidad, aborto y arte callejero” En: Gutierrez (comp.) Voces polifónicas. Itinerarios de género y sexualidades. Buenos Aires: Godot</w:t>
      </w:r>
    </w:p>
    <w:p w:rsidR="00ED0369" w:rsidRDefault="00ED0369">
      <w:pPr>
        <w:pStyle w:val="WW-Predeterminado"/>
        <w:numPr>
          <w:ilvl w:val="0"/>
          <w:numId w:val="5"/>
        </w:numPr>
        <w:spacing w:after="0" w:line="200" w:lineRule="atLeast"/>
        <w:jc w:val="both"/>
      </w:pPr>
      <w:r>
        <w:rPr>
          <w:rFonts w:cs="Tahoma"/>
          <w:color w:val="000000"/>
          <w:lang w:val="es-ES" w:eastAsia="ar-SA" w:bidi="ar-SA"/>
        </w:rPr>
        <w:t xml:space="preserve">Segato, R. (2003) Las estructuras elementales de la violencia. Ensayos sobre género entre la antropología, el psicoanálisis y los derechos humanos. Buenos Aires: Prometeo </w:t>
      </w:r>
    </w:p>
    <w:p w:rsidR="00ED0369" w:rsidRDefault="00ED0369">
      <w:pPr>
        <w:pStyle w:val="Predeterminado"/>
        <w:spacing w:after="0" w:line="200" w:lineRule="atLeast"/>
        <w:jc w:val="both"/>
      </w:pPr>
    </w:p>
    <w:p w:rsidR="00ED0369" w:rsidRDefault="00ED0369">
      <w:pPr>
        <w:pStyle w:val="Predeterminado"/>
        <w:spacing w:after="0" w:line="200" w:lineRule="atLeast"/>
        <w:jc w:val="both"/>
      </w:pPr>
      <w:r>
        <w:rPr>
          <w:rFonts w:ascii="Times New Roman" w:hAnsi="Times New Roman" w:cs="Times New Roman"/>
          <w:lang w:val="es-ES"/>
        </w:rPr>
        <w:t>EVALUACIÓN</w:t>
      </w:r>
    </w:p>
    <w:p w:rsidR="00ED0369" w:rsidRDefault="00ED0369">
      <w:pPr>
        <w:pStyle w:val="NoSpacing"/>
        <w:spacing w:after="0" w:line="200" w:lineRule="atLeast"/>
        <w:jc w:val="both"/>
      </w:pPr>
      <w:r>
        <w:rPr>
          <w:sz w:val="24"/>
          <w:szCs w:val="24"/>
        </w:rPr>
        <w:t>Para la aprobación del seminario, los/las estudiantes deberán realizar un trabajo de corte monográfico en el que seleccionen una experiencia socio-educativa y la analicen a la luz  los temas trabajados en la cursada, estableciendo relaciones con los conceptos centrales abordados a lo largo de este espacio.</w:t>
      </w:r>
    </w:p>
    <w:p w:rsidR="00ED0369" w:rsidRDefault="00ED0369">
      <w:pPr>
        <w:pStyle w:val="NoSpacing"/>
        <w:spacing w:after="0" w:line="200" w:lineRule="atLeast"/>
        <w:ind w:left="360"/>
        <w:jc w:val="both"/>
      </w:pPr>
    </w:p>
    <w:p w:rsidR="00ED0369" w:rsidRDefault="00ED0369">
      <w:pPr>
        <w:pStyle w:val="Predeterminado"/>
        <w:spacing w:after="0" w:line="200" w:lineRule="atLeast"/>
        <w:jc w:val="both"/>
      </w:pPr>
      <w:r>
        <w:rPr>
          <w:rFonts w:ascii="Times New Roman" w:hAnsi="Times New Roman" w:cs="Times New Roman"/>
          <w:lang w:val="es-ES"/>
        </w:rPr>
        <w:t>CONDICIONES PARA LA PROMOCIÓN</w:t>
      </w:r>
    </w:p>
    <w:p w:rsidR="00ED0369" w:rsidRDefault="00ED0369">
      <w:pPr>
        <w:pStyle w:val="Predeterminado"/>
        <w:numPr>
          <w:ilvl w:val="0"/>
          <w:numId w:val="3"/>
        </w:numPr>
        <w:spacing w:after="0" w:line="200" w:lineRule="atLeast"/>
        <w:jc w:val="both"/>
      </w:pPr>
      <w:r>
        <w:rPr>
          <w:rFonts w:ascii="Times New Roman" w:hAnsi="Times New Roman" w:cs="Times New Roman"/>
          <w:lang w:val="es-ES"/>
        </w:rPr>
        <w:t xml:space="preserve">cumplimentar con los requisitos propios del posgrado: regularidad y asistencia según lo establecido por la facultad </w:t>
      </w:r>
    </w:p>
    <w:p w:rsidR="00ED0369" w:rsidRDefault="00ED0369">
      <w:pPr>
        <w:pStyle w:val="Predeterminado"/>
        <w:numPr>
          <w:ilvl w:val="0"/>
          <w:numId w:val="3"/>
        </w:numPr>
        <w:spacing w:after="0" w:line="200" w:lineRule="atLeast"/>
        <w:jc w:val="both"/>
      </w:pPr>
      <w:r>
        <w:rPr>
          <w:rFonts w:ascii="Times New Roman" w:hAnsi="Times New Roman" w:cs="Times New Roman"/>
          <w:lang w:val="es-ES"/>
        </w:rPr>
        <w:t xml:space="preserve">aprobación de trabajos parciales </w:t>
      </w:r>
    </w:p>
    <w:p w:rsidR="00ED0369" w:rsidRDefault="00ED0369">
      <w:pPr>
        <w:pStyle w:val="Predeterminado"/>
        <w:numPr>
          <w:ilvl w:val="0"/>
          <w:numId w:val="3"/>
        </w:numPr>
        <w:spacing w:after="0" w:line="200" w:lineRule="atLeast"/>
        <w:jc w:val="both"/>
      </w:pPr>
      <w:r>
        <w:rPr>
          <w:rFonts w:ascii="Times New Roman" w:hAnsi="Times New Roman" w:cs="Times New Roman"/>
          <w:lang w:val="es-ES"/>
        </w:rPr>
        <w:t xml:space="preserve">presentación de un trabajo monográfico final   </w:t>
      </w:r>
    </w:p>
    <w:p w:rsidR="00ED0369" w:rsidRDefault="00ED0369">
      <w:pPr>
        <w:pStyle w:val="Predeterminado"/>
        <w:shd w:val="clear" w:color="auto" w:fill="FFFFFF"/>
        <w:spacing w:after="0" w:line="200" w:lineRule="atLeast"/>
      </w:pPr>
    </w:p>
    <w:p w:rsidR="00ED0369" w:rsidRDefault="00ED0369">
      <w:pPr>
        <w:pStyle w:val="Predeterminado"/>
        <w:shd w:val="clear" w:color="auto" w:fill="FFFFFF"/>
        <w:spacing w:after="0" w:line="200" w:lineRule="atLeast"/>
      </w:pPr>
      <w:r>
        <w:rPr>
          <w:rFonts w:ascii="Times New Roman" w:hAnsi="Times New Roman" w:cs="Times New Roman"/>
          <w:b/>
          <w:lang w:eastAsia="es-MX"/>
        </w:rPr>
        <w:t>CARGAS HORARIAS RELACIONADAS AL DICTADO DE LA ACTIVIDAD EN HORAS RELOJ.</w:t>
      </w:r>
    </w:p>
    <w:p w:rsidR="00ED0369" w:rsidRDefault="00ED0369">
      <w:pPr>
        <w:pStyle w:val="Predeterminado"/>
        <w:shd w:val="clear" w:color="auto" w:fill="FFFFFF"/>
        <w:spacing w:after="0" w:line="200" w:lineRule="atLeast"/>
      </w:pPr>
      <w:r>
        <w:rPr>
          <w:rFonts w:ascii="Times New Roman" w:hAnsi="Times New Roman" w:cs="Times New Roman"/>
          <w:b/>
          <w:lang w:eastAsia="es-MX"/>
        </w:rPr>
        <w:t xml:space="preserve">MODALIDAD PRESENCIAL </w:t>
      </w:r>
    </w:p>
    <w:p w:rsidR="00ED0369" w:rsidRDefault="00ED0369">
      <w:pPr>
        <w:pStyle w:val="Predeterminado"/>
        <w:numPr>
          <w:ilvl w:val="0"/>
          <w:numId w:val="4"/>
        </w:numPr>
        <w:shd w:val="clear" w:color="auto" w:fill="FFFFFF"/>
        <w:spacing w:after="0" w:line="200" w:lineRule="atLeast"/>
      </w:pPr>
      <w:r>
        <w:rPr>
          <w:rFonts w:ascii="Times New Roman" w:hAnsi="Times New Roman" w:cs="Times New Roman"/>
          <w:b/>
          <w:lang w:eastAsia="es-MX"/>
        </w:rPr>
        <w:t xml:space="preserve">CARGA TEÓRICA: 30 </w:t>
      </w:r>
    </w:p>
    <w:p w:rsidR="00ED0369" w:rsidRDefault="00ED0369">
      <w:pPr>
        <w:pStyle w:val="Predeterminado"/>
        <w:numPr>
          <w:ilvl w:val="0"/>
          <w:numId w:val="4"/>
        </w:numPr>
        <w:shd w:val="clear" w:color="auto" w:fill="FFFFFF"/>
        <w:spacing w:after="0" w:line="200" w:lineRule="atLeast"/>
      </w:pPr>
      <w:r>
        <w:rPr>
          <w:rFonts w:ascii="Times New Roman" w:hAnsi="Times New Roman" w:cs="Times New Roman"/>
          <w:b/>
          <w:lang w:eastAsia="es-MX"/>
        </w:rPr>
        <w:t>CARGA PRÁCTICA : 14</w:t>
      </w:r>
    </w:p>
    <w:p w:rsidR="00ED0369" w:rsidRDefault="00ED0369">
      <w:pPr>
        <w:pStyle w:val="Predeterminado"/>
        <w:numPr>
          <w:ilvl w:val="0"/>
          <w:numId w:val="4"/>
        </w:numPr>
        <w:shd w:val="clear" w:color="auto" w:fill="FFFFFF"/>
        <w:spacing w:after="0" w:line="200" w:lineRule="atLeast"/>
      </w:pPr>
      <w:r>
        <w:rPr>
          <w:rFonts w:ascii="Times New Roman" w:hAnsi="Times New Roman" w:cs="Times New Roman"/>
          <w:b/>
          <w:lang w:eastAsia="es-MX"/>
        </w:rPr>
        <w:t xml:space="preserve">TOTAL: 44 HS </w:t>
      </w:r>
    </w:p>
    <w:p w:rsidR="00ED0369" w:rsidRDefault="00ED0369">
      <w:pPr>
        <w:pStyle w:val="Predeterminado"/>
        <w:spacing w:after="0" w:line="200" w:lineRule="atLeast"/>
      </w:pPr>
    </w:p>
    <w:p w:rsidR="00ED0369" w:rsidRDefault="00ED0369">
      <w:pPr>
        <w:pStyle w:val="Predeterminado"/>
        <w:spacing w:after="0" w:line="200" w:lineRule="atLeast"/>
      </w:pPr>
    </w:p>
    <w:p w:rsidR="00ED0369" w:rsidRDefault="00ED0369">
      <w:pPr>
        <w:pStyle w:val="NoSpacing"/>
        <w:spacing w:after="0" w:line="200" w:lineRule="atLeast"/>
        <w:jc w:val="both"/>
      </w:pPr>
    </w:p>
    <w:sectPr w:rsidR="00ED0369" w:rsidSect="003F6126">
      <w:footerReference w:type="default" r:id="rId8"/>
      <w:pgSz w:w="12240" w:h="15840"/>
      <w:pgMar w:top="1417" w:right="1701" w:bottom="1417" w:left="1701" w:header="720" w:footer="72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369" w:rsidRDefault="00ED0369" w:rsidP="003F6126">
      <w:pPr>
        <w:spacing w:after="0" w:line="240" w:lineRule="auto"/>
      </w:pPr>
      <w:r>
        <w:separator/>
      </w:r>
    </w:p>
  </w:endnote>
  <w:endnote w:type="continuationSeparator" w:id="0">
    <w:p w:rsidR="00ED0369" w:rsidRDefault="00ED0369" w:rsidP="003F6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SimSun;宋体">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369" w:rsidRDefault="00ED0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369" w:rsidRDefault="00ED0369" w:rsidP="003F6126">
      <w:pPr>
        <w:spacing w:after="0" w:line="240" w:lineRule="auto"/>
      </w:pPr>
      <w:r>
        <w:separator/>
      </w:r>
    </w:p>
  </w:footnote>
  <w:footnote w:type="continuationSeparator" w:id="0">
    <w:p w:rsidR="00ED0369" w:rsidRDefault="00ED0369" w:rsidP="003F6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3ED5"/>
    <w:multiLevelType w:val="multilevel"/>
    <w:tmpl w:val="6F522762"/>
    <w:lvl w:ilvl="0">
      <w:start w:val="1"/>
      <w:numFmt w:val="bullet"/>
      <w:lvlText w:val=""/>
      <w:lvlJc w:val="left"/>
      <w:pPr>
        <w:ind w:left="720" w:hanging="360"/>
      </w:pPr>
      <w:rPr>
        <w:rFonts w:ascii="Wingdings 2" w:hAnsi="Wingdings 2" w:hint="default"/>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1">
    <w:nsid w:val="203553A0"/>
    <w:multiLevelType w:val="multilevel"/>
    <w:tmpl w:val="E6D87984"/>
    <w:lvl w:ilvl="0">
      <w:start w:val="1"/>
      <w:numFmt w:val="bullet"/>
      <w:lvlText w:val=""/>
      <w:lvlJc w:val="left"/>
      <w:pPr>
        <w:ind w:left="360" w:hanging="360"/>
      </w:pPr>
      <w:rPr>
        <w:rFonts w:ascii="Symbol" w:hAnsi="Symbol" w:hint="default"/>
        <w:color w:val="00000A"/>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33B14ABC"/>
    <w:multiLevelType w:val="multilevel"/>
    <w:tmpl w:val="89C27A0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nsid w:val="5EEB1E7F"/>
    <w:multiLevelType w:val="multilevel"/>
    <w:tmpl w:val="3BE04BCC"/>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abstractNum w:abstractNumId="4">
    <w:nsid w:val="6F816E6E"/>
    <w:multiLevelType w:val="multilevel"/>
    <w:tmpl w:val="9DBA76A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pStyle w:val="Encabezado3"/>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73606FE8"/>
    <w:multiLevelType w:val="multilevel"/>
    <w:tmpl w:val="F42E0C28"/>
    <w:lvl w:ilvl="0">
      <w:start w:val="1"/>
      <w:numFmt w:val="bullet"/>
      <w:lvlText w:val=""/>
      <w:lvlJc w:val="left"/>
      <w:pPr>
        <w:ind w:left="108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decimal"/>
      <w:lvlText w:val="%2.%3.%4.%5."/>
      <w:lvlJc w:val="left"/>
      <w:pPr>
        <w:ind w:left="2160" w:hanging="360"/>
      </w:pPr>
      <w:rPr>
        <w:rFonts w:cs="Times New Roman"/>
      </w:rPr>
    </w:lvl>
    <w:lvl w:ilvl="5">
      <w:start w:val="1"/>
      <w:numFmt w:val="decimal"/>
      <w:lvlText w:val="%2.%3.%4.%5.%6."/>
      <w:lvlJc w:val="left"/>
      <w:pPr>
        <w:ind w:left="2520" w:hanging="360"/>
      </w:pPr>
      <w:rPr>
        <w:rFonts w:cs="Times New Roman"/>
      </w:rPr>
    </w:lvl>
    <w:lvl w:ilvl="6">
      <w:start w:val="1"/>
      <w:numFmt w:val="decimal"/>
      <w:lvlText w:val="%2.%3.%4.%5.%6.%7."/>
      <w:lvlJc w:val="left"/>
      <w:pPr>
        <w:ind w:left="2880" w:hanging="360"/>
      </w:pPr>
      <w:rPr>
        <w:rFonts w:cs="Times New Roman"/>
      </w:rPr>
    </w:lvl>
    <w:lvl w:ilvl="7">
      <w:start w:val="1"/>
      <w:numFmt w:val="decimal"/>
      <w:lvlText w:val="%2.%3.%4.%5.%6.%7.%8."/>
      <w:lvlJc w:val="left"/>
      <w:pPr>
        <w:ind w:left="3240" w:hanging="360"/>
      </w:pPr>
      <w:rPr>
        <w:rFonts w:cs="Times New Roman"/>
      </w:rPr>
    </w:lvl>
    <w:lvl w:ilvl="8">
      <w:start w:val="1"/>
      <w:numFmt w:val="decimal"/>
      <w:lvlText w:val="%2.%3.%4.%5.%6.%7.%8.%9."/>
      <w:lvlJc w:val="left"/>
      <w:pPr>
        <w:ind w:left="3600" w:hanging="360"/>
      </w:pPr>
      <w:rPr>
        <w:rFonts w:cs="Times New Roman"/>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126"/>
    <w:rsid w:val="000450AF"/>
    <w:rsid w:val="00090266"/>
    <w:rsid w:val="001744BB"/>
    <w:rsid w:val="002C774F"/>
    <w:rsid w:val="003739E0"/>
    <w:rsid w:val="003F6126"/>
    <w:rsid w:val="006E249F"/>
    <w:rsid w:val="007A3B36"/>
    <w:rsid w:val="00B3541D"/>
    <w:rsid w:val="00D12D73"/>
    <w:rsid w:val="00ED036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BB"/>
    <w:pPr>
      <w:spacing w:after="200" w:line="276" w:lineRule="auto"/>
    </w:pPr>
    <w:rPr>
      <w:lang w:val="es-MX" w:eastAsia="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terminado">
    <w:name w:val="Predeterminado"/>
    <w:uiPriority w:val="99"/>
    <w:rsid w:val="003F6126"/>
    <w:pPr>
      <w:tabs>
        <w:tab w:val="left" w:pos="708"/>
      </w:tabs>
      <w:suppressAutoHyphens/>
      <w:spacing w:after="200" w:line="276" w:lineRule="atLeast"/>
    </w:pPr>
    <w:rPr>
      <w:rFonts w:ascii="Cambria" w:eastAsia="SimSun" w:hAnsi="Cambria" w:cs="Cambria"/>
      <w:color w:val="000000"/>
      <w:sz w:val="24"/>
      <w:szCs w:val="24"/>
      <w:lang w:val="es-CO" w:eastAsia="zh-CN" w:bidi="hi-IN"/>
    </w:rPr>
  </w:style>
  <w:style w:type="paragraph" w:customStyle="1" w:styleId="Encabezado3">
    <w:name w:val="Encabezado 3"/>
    <w:basedOn w:val="Predeterminado"/>
    <w:next w:val="Cuerpodetexto"/>
    <w:uiPriority w:val="99"/>
    <w:rsid w:val="003F6126"/>
    <w:pPr>
      <w:keepNext/>
      <w:numPr>
        <w:ilvl w:val="2"/>
        <w:numId w:val="1"/>
      </w:numPr>
      <w:spacing w:before="240" w:after="60"/>
      <w:outlineLvl w:val="2"/>
    </w:pPr>
    <w:rPr>
      <w:rFonts w:eastAsia="Times New Roman"/>
      <w:b/>
      <w:bCs/>
      <w:sz w:val="26"/>
      <w:szCs w:val="26"/>
    </w:rPr>
  </w:style>
  <w:style w:type="character" w:customStyle="1" w:styleId="TextodegloboCar">
    <w:name w:val="Texto de globo Car"/>
    <w:basedOn w:val="DefaultParagraphFont"/>
    <w:uiPriority w:val="99"/>
    <w:rsid w:val="003F6126"/>
    <w:rPr>
      <w:rFonts w:ascii="Tahoma" w:hAnsi="Tahoma" w:cs="Tahoma"/>
      <w:sz w:val="16"/>
      <w:szCs w:val="16"/>
    </w:rPr>
  </w:style>
  <w:style w:type="character" w:customStyle="1" w:styleId="EncabezadoCar">
    <w:name w:val="Encabezado Car"/>
    <w:basedOn w:val="DefaultParagraphFont"/>
    <w:uiPriority w:val="99"/>
    <w:rsid w:val="003F6126"/>
    <w:rPr>
      <w:rFonts w:cs="Times New Roman"/>
      <w:sz w:val="22"/>
      <w:szCs w:val="22"/>
      <w:lang w:eastAsia="en-US"/>
    </w:rPr>
  </w:style>
  <w:style w:type="character" w:customStyle="1" w:styleId="PiedepginaCar">
    <w:name w:val="Pie de página Car"/>
    <w:basedOn w:val="DefaultParagraphFont"/>
    <w:uiPriority w:val="99"/>
    <w:rsid w:val="003F6126"/>
    <w:rPr>
      <w:rFonts w:cs="Times New Roman"/>
      <w:sz w:val="22"/>
      <w:szCs w:val="22"/>
      <w:lang w:eastAsia="en-US"/>
    </w:rPr>
  </w:style>
  <w:style w:type="character" w:customStyle="1" w:styleId="apple-converted-space">
    <w:name w:val="apple-converted-space"/>
    <w:basedOn w:val="DefaultParagraphFont"/>
    <w:uiPriority w:val="99"/>
    <w:rsid w:val="003F6126"/>
    <w:rPr>
      <w:rFonts w:cs="Times New Roman"/>
    </w:rPr>
  </w:style>
  <w:style w:type="character" w:customStyle="1" w:styleId="EnlacedeInternet">
    <w:name w:val="Enlace de Internet"/>
    <w:basedOn w:val="DefaultParagraphFont"/>
    <w:uiPriority w:val="99"/>
    <w:rsid w:val="003F6126"/>
    <w:rPr>
      <w:rFonts w:cs="Times New Roman"/>
      <w:color w:val="0000FF"/>
      <w:u w:val="single"/>
      <w:lang w:val="es-ES" w:eastAsia="es-ES"/>
    </w:rPr>
  </w:style>
  <w:style w:type="character" w:customStyle="1" w:styleId="TextoindependienteCar">
    <w:name w:val="Texto independiente Car"/>
    <w:basedOn w:val="DefaultParagraphFont"/>
    <w:uiPriority w:val="99"/>
    <w:rsid w:val="003F6126"/>
    <w:rPr>
      <w:rFonts w:ascii="Times New Roman" w:hAnsi="Times New Roman" w:cs="Times New Roman"/>
      <w:sz w:val="24"/>
      <w:szCs w:val="24"/>
      <w:lang w:val="en-US" w:eastAsia="es-ES"/>
    </w:rPr>
  </w:style>
  <w:style w:type="character" w:customStyle="1" w:styleId="Textoindependiente2Car">
    <w:name w:val="Texto independiente 2 Car"/>
    <w:basedOn w:val="DefaultParagraphFont"/>
    <w:uiPriority w:val="99"/>
    <w:rsid w:val="003F6126"/>
    <w:rPr>
      <w:rFonts w:cs="Times New Roman"/>
      <w:sz w:val="22"/>
      <w:szCs w:val="22"/>
      <w:lang w:eastAsia="en-US"/>
    </w:rPr>
  </w:style>
  <w:style w:type="character" w:customStyle="1" w:styleId="Ttulo3Car">
    <w:name w:val="Título 3 Car"/>
    <w:basedOn w:val="DefaultParagraphFont"/>
    <w:uiPriority w:val="99"/>
    <w:rsid w:val="003F6126"/>
    <w:rPr>
      <w:rFonts w:ascii="Cambria" w:hAnsi="Cambria" w:cs="Times New Roman"/>
      <w:b/>
      <w:bCs/>
      <w:sz w:val="26"/>
      <w:szCs w:val="26"/>
      <w:lang w:eastAsia="en-US"/>
    </w:rPr>
  </w:style>
  <w:style w:type="character" w:customStyle="1" w:styleId="style5">
    <w:name w:val="style5"/>
    <w:basedOn w:val="DefaultParagraphFont"/>
    <w:uiPriority w:val="99"/>
    <w:rsid w:val="003F6126"/>
    <w:rPr>
      <w:rFonts w:cs="Times New Roman"/>
    </w:rPr>
  </w:style>
  <w:style w:type="character" w:customStyle="1" w:styleId="ListLabel1">
    <w:name w:val="ListLabel 1"/>
    <w:uiPriority w:val="99"/>
    <w:rsid w:val="003F6126"/>
  </w:style>
  <w:style w:type="character" w:customStyle="1" w:styleId="ListLabel2">
    <w:name w:val="ListLabel 2"/>
    <w:uiPriority w:val="99"/>
    <w:rsid w:val="003F6126"/>
    <w:rPr>
      <w:sz w:val="20"/>
    </w:rPr>
  </w:style>
  <w:style w:type="character" w:customStyle="1" w:styleId="WW8Num4z0">
    <w:name w:val="WW8Num4z0"/>
    <w:uiPriority w:val="99"/>
    <w:rsid w:val="003F6126"/>
    <w:rPr>
      <w:rFonts w:ascii="Symbol" w:hAnsi="Symbol"/>
    </w:rPr>
  </w:style>
  <w:style w:type="character" w:customStyle="1" w:styleId="WW8Num3z0">
    <w:name w:val="WW8Num3z0"/>
    <w:uiPriority w:val="99"/>
    <w:rsid w:val="003F6126"/>
    <w:rPr>
      <w:rFonts w:ascii="Symbol" w:hAnsi="Symbol"/>
    </w:rPr>
  </w:style>
  <w:style w:type="character" w:customStyle="1" w:styleId="WW8Num2z0">
    <w:name w:val="WW8Num2z0"/>
    <w:uiPriority w:val="99"/>
    <w:rsid w:val="003F6126"/>
    <w:rPr>
      <w:rFonts w:ascii="Symbol" w:hAnsi="Symbol"/>
      <w:color w:val="000000"/>
    </w:rPr>
  </w:style>
  <w:style w:type="character" w:customStyle="1" w:styleId="WW8Num8z0">
    <w:name w:val="WW8Num8z0"/>
    <w:uiPriority w:val="99"/>
    <w:rsid w:val="003F6126"/>
    <w:rPr>
      <w:rFonts w:ascii="Wingdings 2" w:hAnsi="Wingdings 2"/>
    </w:rPr>
  </w:style>
  <w:style w:type="character" w:customStyle="1" w:styleId="WW8Num8z1">
    <w:name w:val="WW8Num8z1"/>
    <w:uiPriority w:val="99"/>
    <w:rsid w:val="003F6126"/>
    <w:rPr>
      <w:rFonts w:ascii="OpenSymbol" w:hAnsi="OpenSymbol"/>
    </w:rPr>
  </w:style>
  <w:style w:type="character" w:customStyle="1" w:styleId="Fuentedeprrafopredeter2">
    <w:name w:val="Fuente de párrafo predeter.2"/>
    <w:uiPriority w:val="99"/>
    <w:rsid w:val="003F6126"/>
  </w:style>
  <w:style w:type="character" w:customStyle="1" w:styleId="apple-style-span">
    <w:name w:val="apple-style-span"/>
    <w:basedOn w:val="Fuentedeprrafopredeter2"/>
    <w:uiPriority w:val="99"/>
    <w:rsid w:val="003F6126"/>
    <w:rPr>
      <w:rFonts w:cs="Times New Roman"/>
    </w:rPr>
  </w:style>
  <w:style w:type="character" w:customStyle="1" w:styleId="WW8Num11z0">
    <w:name w:val="WW8Num11z0"/>
    <w:uiPriority w:val="99"/>
    <w:rsid w:val="003F6126"/>
    <w:rPr>
      <w:rFonts w:ascii="Symbol" w:hAnsi="Symbol"/>
      <w:sz w:val="20"/>
    </w:rPr>
  </w:style>
  <w:style w:type="character" w:customStyle="1" w:styleId="WW8Num11z1">
    <w:name w:val="WW8Num11z1"/>
    <w:uiPriority w:val="99"/>
    <w:rsid w:val="003F6126"/>
    <w:rPr>
      <w:rFonts w:ascii="Courier New" w:hAnsi="Courier New"/>
      <w:sz w:val="20"/>
    </w:rPr>
  </w:style>
  <w:style w:type="character" w:customStyle="1" w:styleId="WW8Num11z2">
    <w:name w:val="WW8Num11z2"/>
    <w:uiPriority w:val="99"/>
    <w:rsid w:val="003F6126"/>
    <w:rPr>
      <w:rFonts w:ascii="Wingdings" w:hAnsi="Wingdings"/>
      <w:sz w:val="20"/>
    </w:rPr>
  </w:style>
  <w:style w:type="character" w:customStyle="1" w:styleId="ListLabel3">
    <w:name w:val="ListLabel 3"/>
    <w:uiPriority w:val="99"/>
    <w:rsid w:val="003F6126"/>
  </w:style>
  <w:style w:type="character" w:customStyle="1" w:styleId="ListLabel4">
    <w:name w:val="ListLabel 4"/>
    <w:uiPriority w:val="99"/>
    <w:rsid w:val="003F6126"/>
  </w:style>
  <w:style w:type="character" w:customStyle="1" w:styleId="ListLabel5">
    <w:name w:val="ListLabel 5"/>
    <w:uiPriority w:val="99"/>
    <w:rsid w:val="003F6126"/>
  </w:style>
  <w:style w:type="character" w:customStyle="1" w:styleId="Vietas">
    <w:name w:val="Viñetas"/>
    <w:uiPriority w:val="99"/>
    <w:rsid w:val="003F6126"/>
    <w:rPr>
      <w:rFonts w:ascii="OpenSymbol" w:eastAsia="Times New Roman" w:hAnsi="OpenSymbol"/>
    </w:rPr>
  </w:style>
  <w:style w:type="character" w:customStyle="1" w:styleId="ListLabel6">
    <w:name w:val="ListLabel 6"/>
    <w:uiPriority w:val="99"/>
    <w:rsid w:val="003F6126"/>
  </w:style>
  <w:style w:type="character" w:customStyle="1" w:styleId="ListLabel7">
    <w:name w:val="ListLabel 7"/>
    <w:uiPriority w:val="99"/>
    <w:rsid w:val="003F6126"/>
    <w:rPr>
      <w:color w:val="000000"/>
    </w:rPr>
  </w:style>
  <w:style w:type="character" w:customStyle="1" w:styleId="ListLabel8">
    <w:name w:val="ListLabel 8"/>
    <w:uiPriority w:val="99"/>
    <w:rsid w:val="003F6126"/>
  </w:style>
  <w:style w:type="character" w:customStyle="1" w:styleId="ListLabel9">
    <w:name w:val="ListLabel 9"/>
    <w:uiPriority w:val="99"/>
    <w:rsid w:val="003F6126"/>
  </w:style>
  <w:style w:type="character" w:customStyle="1" w:styleId="WW8Num7z0">
    <w:name w:val="WW8Num7z0"/>
    <w:uiPriority w:val="99"/>
    <w:rsid w:val="003F6126"/>
    <w:rPr>
      <w:rFonts w:ascii="Symbol" w:hAnsi="Symbol"/>
      <w:color w:val="00000A"/>
    </w:rPr>
  </w:style>
  <w:style w:type="character" w:customStyle="1" w:styleId="ListLabel10">
    <w:name w:val="ListLabel 10"/>
    <w:uiPriority w:val="99"/>
    <w:rsid w:val="003F6126"/>
  </w:style>
  <w:style w:type="character" w:customStyle="1" w:styleId="ListLabel11">
    <w:name w:val="ListLabel 11"/>
    <w:uiPriority w:val="99"/>
    <w:rsid w:val="003F6126"/>
  </w:style>
  <w:style w:type="character" w:customStyle="1" w:styleId="ListLabel12">
    <w:name w:val="ListLabel 12"/>
    <w:uiPriority w:val="99"/>
    <w:rsid w:val="003F6126"/>
  </w:style>
  <w:style w:type="character" w:customStyle="1" w:styleId="ListLabel13">
    <w:name w:val="ListLabel 13"/>
    <w:uiPriority w:val="99"/>
    <w:rsid w:val="003F6126"/>
    <w:rPr>
      <w:color w:val="00000A"/>
    </w:rPr>
  </w:style>
  <w:style w:type="paragraph" w:styleId="Header">
    <w:name w:val="header"/>
    <w:basedOn w:val="Predeterminado"/>
    <w:next w:val="Cuerpodetexto"/>
    <w:link w:val="HeaderChar"/>
    <w:uiPriority w:val="99"/>
    <w:rsid w:val="003F6126"/>
    <w:pPr>
      <w:keepNext/>
      <w:spacing w:before="240" w:after="120"/>
    </w:pPr>
    <w:rPr>
      <w:rFonts w:ascii="Arial" w:eastAsia="Times New Roman" w:hAnsi="Arial" w:cs="Mangal"/>
      <w:sz w:val="28"/>
      <w:szCs w:val="28"/>
    </w:rPr>
  </w:style>
  <w:style w:type="character" w:customStyle="1" w:styleId="HeaderChar">
    <w:name w:val="Header Char"/>
    <w:basedOn w:val="DefaultParagraphFont"/>
    <w:link w:val="Header"/>
    <w:uiPriority w:val="99"/>
    <w:semiHidden/>
    <w:rsid w:val="00863B4F"/>
    <w:rPr>
      <w:lang w:val="es-MX" w:eastAsia="es-MX"/>
    </w:rPr>
  </w:style>
  <w:style w:type="paragraph" w:customStyle="1" w:styleId="Cuerpodetexto">
    <w:name w:val="Cuerpo de texto"/>
    <w:basedOn w:val="Predeterminado"/>
    <w:uiPriority w:val="99"/>
    <w:rsid w:val="003F6126"/>
    <w:pPr>
      <w:spacing w:after="120" w:line="100" w:lineRule="atLeast"/>
    </w:pPr>
    <w:rPr>
      <w:rFonts w:ascii="Times New Roman" w:eastAsia="Times New Roman" w:hAnsi="Times New Roman"/>
      <w:lang w:val="en-US" w:eastAsia="es-ES"/>
    </w:rPr>
  </w:style>
  <w:style w:type="paragraph" w:styleId="List">
    <w:name w:val="List"/>
    <w:basedOn w:val="Cuerpodetexto"/>
    <w:uiPriority w:val="99"/>
    <w:rsid w:val="003F6126"/>
    <w:rPr>
      <w:rFonts w:cs="Mangal"/>
    </w:rPr>
  </w:style>
  <w:style w:type="paragraph" w:customStyle="1" w:styleId="Etiqueta">
    <w:name w:val="Etiqueta"/>
    <w:basedOn w:val="Predeterminado"/>
    <w:uiPriority w:val="99"/>
    <w:rsid w:val="003F6126"/>
    <w:pPr>
      <w:suppressLineNumbers/>
      <w:spacing w:before="120" w:after="120"/>
    </w:pPr>
    <w:rPr>
      <w:rFonts w:cs="Mangal"/>
      <w:i/>
      <w:iCs/>
    </w:rPr>
  </w:style>
  <w:style w:type="paragraph" w:customStyle="1" w:styleId="ndice">
    <w:name w:val="Índice"/>
    <w:basedOn w:val="Predeterminado"/>
    <w:uiPriority w:val="99"/>
    <w:rsid w:val="003F6126"/>
    <w:pPr>
      <w:suppressLineNumbers/>
    </w:pPr>
    <w:rPr>
      <w:rFonts w:cs="Mangal"/>
    </w:rPr>
  </w:style>
  <w:style w:type="paragraph" w:styleId="BalloonText">
    <w:name w:val="Balloon Text"/>
    <w:basedOn w:val="Predeterminado"/>
    <w:link w:val="BalloonTextChar"/>
    <w:uiPriority w:val="99"/>
    <w:rsid w:val="003F6126"/>
    <w:pPr>
      <w:spacing w:after="0" w:line="1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B4F"/>
    <w:rPr>
      <w:rFonts w:ascii="Times New Roman" w:hAnsi="Times New Roman"/>
      <w:sz w:val="0"/>
      <w:szCs w:val="0"/>
      <w:lang w:val="es-MX" w:eastAsia="es-MX"/>
    </w:rPr>
  </w:style>
  <w:style w:type="paragraph" w:styleId="NoSpacing">
    <w:name w:val="No Spacing"/>
    <w:uiPriority w:val="99"/>
    <w:qFormat/>
    <w:rsid w:val="003F6126"/>
    <w:pPr>
      <w:tabs>
        <w:tab w:val="left" w:pos="708"/>
      </w:tabs>
      <w:suppressAutoHyphens/>
      <w:spacing w:after="200" w:line="276" w:lineRule="auto"/>
    </w:pPr>
    <w:rPr>
      <w:rFonts w:ascii="Times New Roman" w:eastAsia="SimSun" w:hAnsi="Times New Roman" w:cs="Mangal"/>
      <w:color w:val="00000A"/>
      <w:lang w:eastAsia="en-US" w:bidi="hi-IN"/>
    </w:rPr>
  </w:style>
  <w:style w:type="paragraph" w:customStyle="1" w:styleId="Encabezamiento">
    <w:name w:val="Encabezamiento"/>
    <w:basedOn w:val="Predeterminado"/>
    <w:uiPriority w:val="99"/>
    <w:rsid w:val="003F6126"/>
    <w:pPr>
      <w:suppressLineNumbers/>
      <w:tabs>
        <w:tab w:val="center" w:pos="4419"/>
        <w:tab w:val="right" w:pos="8838"/>
      </w:tabs>
      <w:spacing w:after="0" w:line="100" w:lineRule="atLeast"/>
    </w:pPr>
  </w:style>
  <w:style w:type="paragraph" w:styleId="Footer">
    <w:name w:val="footer"/>
    <w:basedOn w:val="Predeterminado"/>
    <w:link w:val="FooterChar"/>
    <w:uiPriority w:val="99"/>
    <w:rsid w:val="003F6126"/>
    <w:pPr>
      <w:suppressLineNumbers/>
      <w:tabs>
        <w:tab w:val="center" w:pos="4419"/>
        <w:tab w:val="right" w:pos="8838"/>
      </w:tabs>
      <w:spacing w:after="0" w:line="100" w:lineRule="atLeast"/>
    </w:pPr>
  </w:style>
  <w:style w:type="character" w:customStyle="1" w:styleId="FooterChar">
    <w:name w:val="Footer Char"/>
    <w:basedOn w:val="DefaultParagraphFont"/>
    <w:link w:val="Footer"/>
    <w:uiPriority w:val="99"/>
    <w:semiHidden/>
    <w:rsid w:val="00863B4F"/>
    <w:rPr>
      <w:lang w:val="es-MX" w:eastAsia="es-MX"/>
    </w:rPr>
  </w:style>
  <w:style w:type="paragraph" w:styleId="BodyText2">
    <w:name w:val="Body Text 2"/>
    <w:basedOn w:val="Predeterminado"/>
    <w:link w:val="BodyText2Char"/>
    <w:uiPriority w:val="99"/>
    <w:rsid w:val="003F6126"/>
    <w:pPr>
      <w:spacing w:after="120" w:line="480" w:lineRule="atLeast"/>
    </w:pPr>
  </w:style>
  <w:style w:type="character" w:customStyle="1" w:styleId="BodyText2Char">
    <w:name w:val="Body Text 2 Char"/>
    <w:basedOn w:val="DefaultParagraphFont"/>
    <w:link w:val="BodyText2"/>
    <w:uiPriority w:val="99"/>
    <w:semiHidden/>
    <w:rsid w:val="00863B4F"/>
    <w:rPr>
      <w:lang w:val="es-MX" w:eastAsia="es-MX"/>
    </w:rPr>
  </w:style>
  <w:style w:type="paragraph" w:styleId="NormalWeb">
    <w:name w:val="Normal (Web)"/>
    <w:basedOn w:val="Predeterminado"/>
    <w:uiPriority w:val="99"/>
    <w:rsid w:val="003F6126"/>
    <w:pPr>
      <w:spacing w:before="28" w:after="28" w:line="100" w:lineRule="atLeast"/>
    </w:pPr>
    <w:rPr>
      <w:rFonts w:ascii="Times New Roman" w:eastAsia="Times New Roman" w:hAnsi="Times New Roman"/>
      <w:lang w:eastAsia="es-CO"/>
    </w:rPr>
  </w:style>
  <w:style w:type="paragraph" w:customStyle="1" w:styleId="normal0">
    <w:name w:val="normal"/>
    <w:uiPriority w:val="99"/>
    <w:rsid w:val="003F6126"/>
    <w:pPr>
      <w:tabs>
        <w:tab w:val="left" w:pos="709"/>
      </w:tabs>
      <w:suppressAutoHyphens/>
      <w:spacing w:after="200" w:line="276" w:lineRule="auto"/>
    </w:pPr>
    <w:rPr>
      <w:rFonts w:cs="Calibri"/>
      <w:color w:val="000000"/>
      <w:sz w:val="24"/>
      <w:szCs w:val="24"/>
      <w:lang w:eastAsia="zh-CN"/>
    </w:rPr>
  </w:style>
  <w:style w:type="paragraph" w:customStyle="1" w:styleId="Contenidodelatabla">
    <w:name w:val="Contenido de la tabla"/>
    <w:basedOn w:val="Predeterminado"/>
    <w:uiPriority w:val="99"/>
    <w:rsid w:val="003F6126"/>
    <w:pPr>
      <w:suppressLineNumbers/>
    </w:pPr>
  </w:style>
  <w:style w:type="paragraph" w:customStyle="1" w:styleId="WW-Predeterminado">
    <w:name w:val="WW-Predeterminado"/>
    <w:uiPriority w:val="99"/>
    <w:rsid w:val="003F6126"/>
    <w:pPr>
      <w:tabs>
        <w:tab w:val="left" w:pos="708"/>
      </w:tabs>
      <w:suppressAutoHyphens/>
      <w:spacing w:after="200" w:line="276" w:lineRule="atLeast"/>
    </w:pPr>
    <w:rPr>
      <w:rFonts w:ascii="Times New Roman" w:eastAsia="SimSun;宋体" w:hAnsi="Times New Roman" w:cs="Mangal"/>
      <w:color w:val="00000A"/>
      <w:sz w:val="24"/>
      <w:szCs w:val="24"/>
      <w:lang w:eastAsia="zh-CN" w:bidi="hi-IN"/>
    </w:rPr>
  </w:style>
  <w:style w:type="paragraph" w:styleId="ListParagraph">
    <w:name w:val="List Paragraph"/>
    <w:basedOn w:val="Predeterminado"/>
    <w:uiPriority w:val="99"/>
    <w:qFormat/>
    <w:rsid w:val="003F612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olonautas.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1949</Words>
  <Characters>10723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Ana Laura Camarda</cp:lastModifiedBy>
  <cp:revision>3</cp:revision>
  <dcterms:created xsi:type="dcterms:W3CDTF">2017-04-29T01:17:00Z</dcterms:created>
  <dcterms:modified xsi:type="dcterms:W3CDTF">2017-08-21T20:23:00Z</dcterms:modified>
</cp:coreProperties>
</file>