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D6" w:rsidRDefault="004039D6">
      <w:pPr>
        <w:jc w:val="center"/>
        <w:rPr>
          <w:rFonts w:ascii="Garamond" w:hAnsi="Garamond" w:cs="Garamond"/>
          <w:b/>
          <w:bCs/>
          <w:sz w:val="25"/>
          <w:szCs w:val="25"/>
          <w:lang w:val="es-MX"/>
        </w:rPr>
      </w:pPr>
      <w:r>
        <w:rPr>
          <w:rFonts w:ascii="Garamond" w:hAnsi="Garamond" w:cs="Garamond"/>
          <w:b/>
          <w:bCs/>
          <w:sz w:val="25"/>
          <w:szCs w:val="25"/>
          <w:lang w:val="es-MX"/>
        </w:rPr>
        <w:t>ANÁLISIS DEL DISCURSO</w:t>
      </w:r>
    </w:p>
    <w:p w:rsidR="004039D6" w:rsidRDefault="004039D6">
      <w:pPr>
        <w:jc w:val="center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b/>
          <w:bCs/>
          <w:sz w:val="25"/>
          <w:szCs w:val="25"/>
          <w:lang w:val="es-MX"/>
        </w:rPr>
        <w:t xml:space="preserve">SEMINARIO: TEORÍA DE </w:t>
      </w:r>
      <w:smartTag w:uri="urn:schemas-microsoft-com:office:smarttags" w:element="PersonName">
        <w:smartTagPr>
          <w:attr w:name="ProductID" w:val="LA INTERPRETACIÓN"/>
        </w:smartTagPr>
        <w:r>
          <w:rPr>
            <w:rFonts w:ascii="Garamond" w:hAnsi="Garamond" w:cs="Garamond"/>
            <w:b/>
            <w:bCs/>
            <w:sz w:val="25"/>
            <w:szCs w:val="25"/>
            <w:lang w:val="es-MX"/>
          </w:rPr>
          <w:t>LA INTERPRETACIÓN</w:t>
        </w:r>
      </w:smartTag>
    </w:p>
    <w:p w:rsidR="004039D6" w:rsidRDefault="004039D6">
      <w:pPr>
        <w:jc w:val="center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>
      <w:pPr>
        <w:jc w:val="center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>Cecilia Hidalgo</w:t>
      </w:r>
    </w:p>
    <w:p w:rsidR="004039D6" w:rsidRDefault="004039D6">
      <w:pPr>
        <w:jc w:val="center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>Comunicación electrónica:</w:t>
      </w:r>
      <w:r w:rsidR="00671D3C">
        <w:rPr>
          <w:rFonts w:ascii="Garamond" w:hAnsi="Garamond" w:cs="Garamond"/>
          <w:sz w:val="25"/>
          <w:szCs w:val="25"/>
          <w:lang w:val="es-MX"/>
        </w:rPr>
        <w:t xml:space="preserve"> </w:t>
      </w:r>
      <w:hyperlink r:id="rId5" w:history="1">
        <w:r w:rsidR="00671D3C" w:rsidRPr="006B06B9">
          <w:rPr>
            <w:rStyle w:val="Hipervnculo"/>
            <w:rFonts w:ascii="Garamond" w:hAnsi="Garamond" w:cs="Garamond"/>
            <w:sz w:val="25"/>
            <w:szCs w:val="25"/>
            <w:lang w:val="es-MX"/>
          </w:rPr>
          <w:t>cecil.hidalgo@gmail.com</w:t>
        </w:r>
      </w:hyperlink>
      <w:r w:rsidR="00671D3C">
        <w:rPr>
          <w:rFonts w:ascii="Garamond" w:hAnsi="Garamond" w:cs="Garamond"/>
          <w:sz w:val="25"/>
          <w:szCs w:val="25"/>
          <w:lang w:val="es-MX"/>
        </w:rPr>
        <w:t xml:space="preserve"> </w:t>
      </w:r>
    </w:p>
    <w:p w:rsidR="004039D6" w:rsidRDefault="004039D6">
      <w:pPr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 xml:space="preserve">OBJETIVOS: </w:t>
      </w:r>
    </w:p>
    <w:p w:rsidR="004039D6" w:rsidRDefault="004039D6">
      <w:pPr>
        <w:jc w:val="both"/>
        <w:rPr>
          <w:rFonts w:ascii="Garamond" w:hAnsi="Garamond" w:cs="Garamond"/>
          <w:i/>
          <w:iCs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ab/>
      </w:r>
      <w:r>
        <w:rPr>
          <w:rFonts w:ascii="Garamond" w:hAnsi="Garamond" w:cs="Garamond"/>
          <w:sz w:val="25"/>
          <w:szCs w:val="25"/>
          <w:lang w:val="es-MX"/>
        </w:rPr>
        <w:tab/>
      </w:r>
      <w:r>
        <w:rPr>
          <w:rFonts w:ascii="Garamond" w:hAnsi="Garamond" w:cs="Garamond"/>
          <w:i/>
          <w:iCs/>
          <w:sz w:val="25"/>
          <w:szCs w:val="25"/>
          <w:lang w:val="es-MX"/>
        </w:rPr>
        <w:t>Se discutirá el problema de la interpretación en diversos ámbitos disciplinarios: filosofía, psicoanálisis, historia y literatura, planteando diferencias y coincidencias a través del análisis de sus conexiones posibles.</w:t>
      </w:r>
    </w:p>
    <w:p w:rsidR="004039D6" w:rsidRDefault="004039D6">
      <w:pPr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>
      <w:pPr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>
      <w:pPr>
        <w:numPr>
          <w:ilvl w:val="0"/>
          <w:numId w:val="1"/>
        </w:numPr>
        <w:jc w:val="both"/>
        <w:rPr>
          <w:rFonts w:ascii="Garamond" w:hAnsi="Garamond" w:cs="Garamond"/>
          <w:b/>
          <w:bCs/>
          <w:sz w:val="25"/>
          <w:szCs w:val="25"/>
          <w:lang w:val="es-MX"/>
        </w:rPr>
      </w:pPr>
      <w:r>
        <w:rPr>
          <w:rFonts w:ascii="Garamond" w:hAnsi="Garamond" w:cs="Garamond"/>
          <w:b/>
          <w:bCs/>
          <w:sz w:val="25"/>
          <w:szCs w:val="25"/>
          <w:lang w:val="es-MX"/>
        </w:rPr>
        <w:t>La concepción interpretativa de las ciencias sociales. El camino de la hermenéutica.</w:t>
      </w:r>
    </w:p>
    <w:p w:rsidR="004039D6" w:rsidRDefault="004039D6">
      <w:pPr>
        <w:jc w:val="both"/>
        <w:rPr>
          <w:rFonts w:ascii="Garamond" w:hAnsi="Garamond" w:cs="Garamond"/>
          <w:b/>
          <w:bCs/>
          <w:sz w:val="25"/>
          <w:szCs w:val="25"/>
          <w:lang w:val="es-MX"/>
        </w:rPr>
      </w:pPr>
    </w:p>
    <w:p w:rsidR="004039D6" w:rsidRDefault="004039D6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 xml:space="preserve">Los antecedentes: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Schleiermacher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.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Dilthey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y el espiritualismo alemán. Weber y la sociología comprensiva. El problema de la empatía. La vertiente fenomenológica: Schütz y la ciencia social como comprensión de segundo grado sobre el sentido común. La vertiente lingüística: la influencia de Wittgenstein y el análisis del lenguaje.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Winch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y la aplicación metodológica. La vertiente hermenéutica: la filosofía de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Gadamer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y su rescate epistemológico.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Ricoeur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y la síntesis de explicar y comprender. A.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Giddens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: la doble hermenéutica y la teoría de la estructuración. El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antirrelativismo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de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Habermas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y su concepción de la hermenéutica.</w:t>
      </w:r>
    </w:p>
    <w:p w:rsidR="004039D6" w:rsidRDefault="004039D6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>
      <w:pPr>
        <w:pStyle w:val="Ttulo1"/>
      </w:pPr>
      <w:r>
        <w:t>BIBLIOGRAFÍA</w:t>
      </w:r>
    </w:p>
    <w:p w:rsidR="004039D6" w:rsidRPr="004039D6" w:rsidRDefault="004039D6" w:rsidP="004039D6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Pr="004039D6" w:rsidRDefault="004039D6" w:rsidP="004039D6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r w:rsidRPr="00636BBD">
        <w:rPr>
          <w:rFonts w:ascii="Garamond" w:hAnsi="Garamond" w:cs="Garamond"/>
          <w:sz w:val="25"/>
          <w:szCs w:val="25"/>
          <w:lang w:val="en-GB"/>
        </w:rPr>
        <w:t>-</w:t>
      </w:r>
      <w:proofErr w:type="spellStart"/>
      <w:r w:rsidRPr="00636BBD">
        <w:rPr>
          <w:rFonts w:ascii="Garamond" w:hAnsi="Garamond" w:cs="Garamond"/>
          <w:sz w:val="25"/>
          <w:szCs w:val="25"/>
          <w:lang w:val="en-GB"/>
        </w:rPr>
        <w:t>Follesdal</w:t>
      </w:r>
      <w:proofErr w:type="spellEnd"/>
      <w:r w:rsidRPr="00636BBD">
        <w:rPr>
          <w:rFonts w:ascii="Garamond" w:hAnsi="Garamond" w:cs="Garamond"/>
          <w:sz w:val="25"/>
          <w:szCs w:val="25"/>
          <w:lang w:val="en-GB"/>
        </w:rPr>
        <w:t xml:space="preserve">, </w:t>
      </w:r>
      <w:proofErr w:type="spellStart"/>
      <w:r w:rsidRPr="00636BBD">
        <w:rPr>
          <w:rFonts w:ascii="Garamond" w:hAnsi="Garamond" w:cs="Garamond"/>
          <w:sz w:val="25"/>
          <w:szCs w:val="25"/>
          <w:lang w:val="en-GB"/>
        </w:rPr>
        <w:t>Dagfinn</w:t>
      </w:r>
      <w:proofErr w:type="spellEnd"/>
      <w:r w:rsidRPr="00636BBD">
        <w:rPr>
          <w:rFonts w:ascii="Garamond" w:hAnsi="Garamond" w:cs="Garamond"/>
          <w:sz w:val="25"/>
          <w:szCs w:val="25"/>
          <w:lang w:val="en-GB"/>
        </w:rPr>
        <w:t xml:space="preserve"> 1994. “Hermeneutics and the </w:t>
      </w:r>
      <w:proofErr w:type="spellStart"/>
      <w:r w:rsidRPr="00636BBD">
        <w:rPr>
          <w:rFonts w:ascii="Garamond" w:hAnsi="Garamond" w:cs="Garamond"/>
          <w:sz w:val="25"/>
          <w:szCs w:val="25"/>
          <w:lang w:val="en-GB"/>
        </w:rPr>
        <w:t>Hipothetico</w:t>
      </w:r>
      <w:proofErr w:type="spellEnd"/>
      <w:r w:rsidRPr="00636BBD">
        <w:rPr>
          <w:rFonts w:ascii="Garamond" w:hAnsi="Garamond" w:cs="Garamond"/>
          <w:sz w:val="25"/>
          <w:szCs w:val="25"/>
          <w:lang w:val="en-GB"/>
        </w:rPr>
        <w:t xml:space="preserve">-Deductive Method”, </w:t>
      </w:r>
      <w:smartTag w:uri="urn:schemas-microsoft-com:office:smarttags" w:element="place">
        <w:smartTag w:uri="urn:schemas-microsoft-com:office:smarttags" w:element="City">
          <w:r w:rsidRPr="00636BBD">
            <w:rPr>
              <w:rFonts w:ascii="Garamond" w:hAnsi="Garamond" w:cs="Garamond"/>
              <w:sz w:val="25"/>
              <w:szCs w:val="25"/>
              <w:lang w:val="en-GB"/>
            </w:rPr>
            <w:t>Readings</w:t>
          </w:r>
        </w:smartTag>
      </w:smartTag>
      <w:r w:rsidRPr="00636BBD">
        <w:rPr>
          <w:rFonts w:ascii="Garamond" w:hAnsi="Garamond" w:cs="Garamond"/>
          <w:sz w:val="25"/>
          <w:szCs w:val="25"/>
          <w:lang w:val="en-GB"/>
        </w:rPr>
        <w:t xml:space="preserve"> in </w:t>
      </w:r>
      <w:proofErr w:type="spellStart"/>
      <w:r w:rsidRPr="00636BBD">
        <w:rPr>
          <w:rFonts w:ascii="Garamond" w:hAnsi="Garamond" w:cs="Garamond"/>
          <w:sz w:val="25"/>
          <w:szCs w:val="25"/>
          <w:lang w:val="en-GB"/>
        </w:rPr>
        <w:t>he</w:t>
      </w:r>
      <w:proofErr w:type="spellEnd"/>
      <w:r w:rsidRPr="00636BBD">
        <w:rPr>
          <w:rFonts w:ascii="Garamond" w:hAnsi="Garamond" w:cs="Garamond"/>
          <w:sz w:val="25"/>
          <w:szCs w:val="25"/>
          <w:lang w:val="en-GB"/>
        </w:rPr>
        <w:t xml:space="preserve"> Philosophy of Social Sciences, Michael Martin and Lee McIntyre (eds.) </w:t>
      </w:r>
      <w:r w:rsidRPr="004039D6">
        <w:rPr>
          <w:rFonts w:ascii="Garamond" w:hAnsi="Garamond" w:cs="Garamond"/>
          <w:sz w:val="25"/>
          <w:szCs w:val="25"/>
          <w:lang w:val="es-MX"/>
        </w:rPr>
        <w:t xml:space="preserve">MIT Pres. London </w:t>
      </w:r>
    </w:p>
    <w:p w:rsidR="004039D6" w:rsidRPr="004039D6" w:rsidRDefault="004039D6" w:rsidP="004039D6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proofErr w:type="spellStart"/>
      <w:r w:rsidRPr="004039D6">
        <w:rPr>
          <w:rFonts w:ascii="Garamond" w:hAnsi="Garamond" w:cs="Garamond"/>
          <w:sz w:val="25"/>
          <w:szCs w:val="25"/>
          <w:lang w:val="es-MX"/>
        </w:rPr>
        <w:t>Gadamer</w:t>
      </w:r>
      <w:proofErr w:type="spellEnd"/>
      <w:r w:rsidRPr="004039D6">
        <w:rPr>
          <w:rFonts w:ascii="Garamond" w:hAnsi="Garamond" w:cs="Garamond"/>
          <w:sz w:val="25"/>
          <w:szCs w:val="25"/>
          <w:lang w:val="es-MX"/>
        </w:rPr>
        <w:t>, Hans (1960) 1984 Verda</w:t>
      </w:r>
      <w:r w:rsidR="000311A1">
        <w:rPr>
          <w:rFonts w:ascii="Garamond" w:hAnsi="Garamond" w:cs="Garamond"/>
          <w:sz w:val="25"/>
          <w:szCs w:val="25"/>
          <w:lang w:val="es-MX"/>
        </w:rPr>
        <w:t>d y método</w:t>
      </w:r>
      <w:r w:rsidRPr="004039D6">
        <w:rPr>
          <w:rFonts w:ascii="Garamond" w:hAnsi="Garamond" w:cs="Garamond"/>
          <w:sz w:val="25"/>
          <w:szCs w:val="25"/>
          <w:lang w:val="es-MX"/>
        </w:rPr>
        <w:t>, Ed. Sígueme, Salamanca.</w:t>
      </w:r>
    </w:p>
    <w:p w:rsidR="004039D6" w:rsidRPr="004039D6" w:rsidRDefault="004039D6" w:rsidP="004039D6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proofErr w:type="spellStart"/>
      <w:r w:rsidRPr="004039D6">
        <w:rPr>
          <w:rFonts w:ascii="Garamond" w:hAnsi="Garamond" w:cs="Garamond"/>
          <w:sz w:val="25"/>
          <w:szCs w:val="25"/>
          <w:lang w:val="es-MX"/>
        </w:rPr>
        <w:t>Geertz</w:t>
      </w:r>
      <w:proofErr w:type="spellEnd"/>
      <w:r w:rsidRPr="004039D6">
        <w:rPr>
          <w:rFonts w:ascii="Garamond" w:hAnsi="Garamond" w:cs="Garamond"/>
          <w:sz w:val="25"/>
          <w:szCs w:val="25"/>
          <w:lang w:val="es-MX"/>
        </w:rPr>
        <w:t xml:space="preserve">, </w:t>
      </w:r>
      <w:proofErr w:type="spellStart"/>
      <w:r w:rsidRPr="004039D6">
        <w:rPr>
          <w:rFonts w:ascii="Garamond" w:hAnsi="Garamond" w:cs="Garamond"/>
          <w:sz w:val="25"/>
          <w:szCs w:val="25"/>
          <w:lang w:val="es-MX"/>
        </w:rPr>
        <w:t>Clifford</w:t>
      </w:r>
      <w:proofErr w:type="spellEnd"/>
      <w:r w:rsidRPr="004039D6">
        <w:rPr>
          <w:rFonts w:ascii="Garamond" w:hAnsi="Garamond" w:cs="Garamond"/>
          <w:sz w:val="25"/>
          <w:szCs w:val="25"/>
          <w:lang w:val="es-MX"/>
        </w:rPr>
        <w:t xml:space="preserve"> (1973) 1999 La interpretación de las culturas </w:t>
      </w:r>
      <w:proofErr w:type="spellStart"/>
      <w:r w:rsidRPr="004039D6">
        <w:rPr>
          <w:rFonts w:ascii="Garamond" w:hAnsi="Garamond" w:cs="Garamond"/>
          <w:sz w:val="25"/>
          <w:szCs w:val="25"/>
          <w:lang w:val="es-MX"/>
        </w:rPr>
        <w:t>Gedisa</w:t>
      </w:r>
      <w:proofErr w:type="spellEnd"/>
      <w:r w:rsidRPr="004039D6">
        <w:rPr>
          <w:rFonts w:ascii="Garamond" w:hAnsi="Garamond" w:cs="Garamond"/>
          <w:sz w:val="25"/>
          <w:szCs w:val="25"/>
          <w:lang w:val="es-MX"/>
        </w:rPr>
        <w:t>, Buenos Aires. Cap.1.</w:t>
      </w:r>
    </w:p>
    <w:p w:rsidR="004039D6" w:rsidRDefault="004039D6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proofErr w:type="spellStart"/>
      <w:r>
        <w:rPr>
          <w:rFonts w:ascii="Garamond" w:hAnsi="Garamond" w:cs="Garamond"/>
          <w:sz w:val="25"/>
          <w:szCs w:val="25"/>
          <w:lang w:val="es-MX"/>
        </w:rPr>
        <w:t>Giddens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, Anthony, "Hermenéutica y teoría social", en </w:t>
      </w:r>
      <w:proofErr w:type="spellStart"/>
      <w:r w:rsidRPr="000D0AEE">
        <w:rPr>
          <w:rFonts w:ascii="Garamond" w:hAnsi="Garamond" w:cs="Garamond"/>
          <w:sz w:val="25"/>
          <w:szCs w:val="25"/>
          <w:lang w:val="es-MX"/>
        </w:rPr>
        <w:t>Profiles</w:t>
      </w:r>
      <w:proofErr w:type="spellEnd"/>
      <w:r w:rsidRPr="000D0AEE">
        <w:rPr>
          <w:rFonts w:ascii="Garamond" w:hAnsi="Garamond" w:cs="Garamond"/>
          <w:sz w:val="25"/>
          <w:szCs w:val="25"/>
          <w:lang w:val="es-MX"/>
        </w:rPr>
        <w:t xml:space="preserve"> and </w:t>
      </w:r>
      <w:proofErr w:type="spellStart"/>
      <w:r w:rsidRPr="000D0AEE">
        <w:rPr>
          <w:rFonts w:ascii="Garamond" w:hAnsi="Garamond" w:cs="Garamond"/>
          <w:sz w:val="25"/>
          <w:szCs w:val="25"/>
          <w:lang w:val="es-MX"/>
        </w:rPr>
        <w:t>Critics</w:t>
      </w:r>
      <w:proofErr w:type="spellEnd"/>
      <w:r w:rsidRPr="000D0AEE">
        <w:rPr>
          <w:rFonts w:ascii="Garamond" w:hAnsi="Garamond" w:cs="Garamond"/>
          <w:sz w:val="25"/>
          <w:szCs w:val="25"/>
          <w:lang w:val="es-MX"/>
        </w:rPr>
        <w:t xml:space="preserve"> in Social </w:t>
      </w:r>
      <w:proofErr w:type="spellStart"/>
      <w:r w:rsidRPr="000D0AEE">
        <w:rPr>
          <w:rFonts w:ascii="Garamond" w:hAnsi="Garamond" w:cs="Garamond"/>
          <w:sz w:val="25"/>
          <w:szCs w:val="25"/>
          <w:lang w:val="es-MX"/>
        </w:rPr>
        <w:t>Theory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, Los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Angeles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>, UCP, 1982.</w:t>
      </w:r>
    </w:p>
    <w:p w:rsidR="000D0AEE" w:rsidRPr="000D0AEE" w:rsidRDefault="004039D6" w:rsidP="000D0AEE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proofErr w:type="spellStart"/>
      <w:r w:rsidRPr="000D0AEE">
        <w:rPr>
          <w:rFonts w:ascii="Garamond" w:hAnsi="Garamond" w:cs="Garamond"/>
          <w:sz w:val="25"/>
          <w:szCs w:val="25"/>
          <w:lang w:val="es-MX"/>
        </w:rPr>
        <w:t>Habermas</w:t>
      </w:r>
      <w:proofErr w:type="spellEnd"/>
      <w:r w:rsidRPr="000D0AEE">
        <w:rPr>
          <w:rFonts w:ascii="Garamond" w:hAnsi="Garamond" w:cs="Garamond"/>
          <w:sz w:val="25"/>
          <w:szCs w:val="25"/>
          <w:lang w:val="es-MX"/>
        </w:rPr>
        <w:t xml:space="preserve">, </w:t>
      </w:r>
      <w:proofErr w:type="spellStart"/>
      <w:r w:rsidRPr="000D0AEE">
        <w:rPr>
          <w:rFonts w:ascii="Garamond" w:hAnsi="Garamond" w:cs="Garamond"/>
          <w:sz w:val="25"/>
          <w:szCs w:val="25"/>
          <w:lang w:val="es-MX"/>
        </w:rPr>
        <w:t>Jurgen</w:t>
      </w:r>
      <w:proofErr w:type="spellEnd"/>
      <w:r w:rsidRPr="000D0AEE">
        <w:rPr>
          <w:rFonts w:ascii="Garamond" w:hAnsi="Garamond" w:cs="Garamond"/>
          <w:sz w:val="25"/>
          <w:szCs w:val="25"/>
          <w:lang w:val="es-MX"/>
        </w:rPr>
        <w:t xml:space="preserve">, Teoría de la acción comunicativa, Tomo I, </w:t>
      </w:r>
      <w:proofErr w:type="spellStart"/>
      <w:r w:rsidRPr="000D0AEE">
        <w:rPr>
          <w:rFonts w:ascii="Garamond" w:hAnsi="Garamond" w:cs="Garamond"/>
          <w:sz w:val="25"/>
          <w:szCs w:val="25"/>
          <w:lang w:val="es-MX"/>
        </w:rPr>
        <w:t>pp</w:t>
      </w:r>
      <w:proofErr w:type="spellEnd"/>
      <w:r w:rsidRPr="000D0AEE">
        <w:rPr>
          <w:rFonts w:ascii="Garamond" w:hAnsi="Garamond" w:cs="Garamond"/>
          <w:sz w:val="25"/>
          <w:szCs w:val="25"/>
          <w:lang w:val="es-MX"/>
        </w:rPr>
        <w:t xml:space="preserve"> 147-197, Madrid, Taurus, 1989.</w:t>
      </w:r>
    </w:p>
    <w:p w:rsidR="000D0AEE" w:rsidRPr="000D0AEE" w:rsidRDefault="00671D3C" w:rsidP="000D0AEE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r w:rsidRPr="00E13B85">
        <w:rPr>
          <w:rFonts w:ascii="Garamond" w:hAnsi="Garamond" w:cs="Garamond"/>
          <w:sz w:val="25"/>
          <w:szCs w:val="25"/>
          <w:lang w:val="en-US"/>
        </w:rPr>
        <w:t>Mueller-</w:t>
      </w:r>
      <w:proofErr w:type="spellStart"/>
      <w:r w:rsidRPr="00E13B85">
        <w:rPr>
          <w:rFonts w:ascii="Garamond" w:hAnsi="Garamond" w:cs="Garamond"/>
          <w:sz w:val="25"/>
          <w:szCs w:val="25"/>
          <w:lang w:val="en-US"/>
        </w:rPr>
        <w:t>Volmer</w:t>
      </w:r>
      <w:proofErr w:type="spellEnd"/>
      <w:r w:rsidRPr="00E13B85">
        <w:rPr>
          <w:rFonts w:ascii="Garamond" w:hAnsi="Garamond" w:cs="Garamond"/>
          <w:sz w:val="25"/>
          <w:szCs w:val="25"/>
          <w:lang w:val="en-US"/>
        </w:rPr>
        <w:t xml:space="preserve">, Kurt </w:t>
      </w:r>
      <w:proofErr w:type="gramStart"/>
      <w:r w:rsidR="000D0AEE" w:rsidRPr="00E13B85">
        <w:rPr>
          <w:rFonts w:ascii="Garamond" w:hAnsi="Garamond" w:cs="Garamond"/>
          <w:sz w:val="25"/>
          <w:szCs w:val="25"/>
          <w:lang w:val="en-US"/>
        </w:rPr>
        <w:t>The</w:t>
      </w:r>
      <w:proofErr w:type="gramEnd"/>
      <w:r w:rsidR="000D0AEE" w:rsidRPr="00E13B85">
        <w:rPr>
          <w:rFonts w:ascii="Garamond" w:hAnsi="Garamond" w:cs="Garamond"/>
          <w:sz w:val="25"/>
          <w:szCs w:val="25"/>
          <w:lang w:val="en-US"/>
        </w:rPr>
        <w:t xml:space="preserve"> Hermeneutics Reader - Texts of the German Tradition from the Enlightenment to the Present. </w:t>
      </w:r>
      <w:r w:rsidR="000D0AEE" w:rsidRPr="000D0AEE">
        <w:rPr>
          <w:rFonts w:ascii="Garamond" w:hAnsi="Garamond" w:cs="Garamond"/>
          <w:sz w:val="25"/>
          <w:szCs w:val="25"/>
          <w:lang w:val="es-MX"/>
        </w:rPr>
        <w:t xml:space="preserve">Oxford, </w:t>
      </w:r>
      <w:proofErr w:type="spellStart"/>
      <w:r w:rsidR="000D0AEE" w:rsidRPr="000D0AEE">
        <w:rPr>
          <w:rFonts w:ascii="Garamond" w:hAnsi="Garamond" w:cs="Garamond"/>
          <w:sz w:val="25"/>
          <w:szCs w:val="25"/>
          <w:lang w:val="es-MX"/>
        </w:rPr>
        <w:t>Basil</w:t>
      </w:r>
      <w:proofErr w:type="spellEnd"/>
      <w:r w:rsidR="000D0AEE" w:rsidRPr="000D0AEE">
        <w:rPr>
          <w:rFonts w:ascii="Garamond" w:hAnsi="Garamond" w:cs="Garamond"/>
          <w:sz w:val="25"/>
          <w:szCs w:val="25"/>
          <w:lang w:val="es-MX"/>
        </w:rPr>
        <w:t xml:space="preserve"> </w:t>
      </w:r>
      <w:proofErr w:type="spellStart"/>
      <w:r w:rsidR="000D0AEE" w:rsidRPr="000D0AEE">
        <w:rPr>
          <w:rFonts w:ascii="Garamond" w:hAnsi="Garamond" w:cs="Garamond"/>
          <w:sz w:val="25"/>
          <w:szCs w:val="25"/>
          <w:lang w:val="es-MX"/>
        </w:rPr>
        <w:t>Blackwell</w:t>
      </w:r>
      <w:proofErr w:type="spellEnd"/>
      <w:r w:rsidR="000D0AEE" w:rsidRPr="000D0AEE">
        <w:rPr>
          <w:rFonts w:ascii="Garamond" w:hAnsi="Garamond" w:cs="Garamond"/>
          <w:sz w:val="25"/>
          <w:szCs w:val="25"/>
          <w:lang w:val="es-MX"/>
        </w:rPr>
        <w:t>. 1986</w:t>
      </w:r>
    </w:p>
    <w:p w:rsidR="004039D6" w:rsidRDefault="004039D6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proofErr w:type="spellStart"/>
      <w:r>
        <w:rPr>
          <w:rFonts w:ascii="Garamond" w:hAnsi="Garamond" w:cs="Garamond"/>
          <w:sz w:val="25"/>
          <w:szCs w:val="25"/>
          <w:lang w:val="es-MX"/>
        </w:rPr>
        <w:t>Ricoeur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>, Paul,</w:t>
      </w:r>
      <w:r w:rsidR="000311A1">
        <w:rPr>
          <w:rFonts w:ascii="Garamond" w:hAnsi="Garamond" w:cs="Garamond"/>
          <w:sz w:val="25"/>
          <w:szCs w:val="25"/>
          <w:lang w:val="es-MX"/>
        </w:rPr>
        <w:t xml:space="preserve"> </w:t>
      </w:r>
      <w:r w:rsidR="000311A1">
        <w:rPr>
          <w:rFonts w:ascii="Garamond" w:hAnsi="Garamond" w:cs="Garamond"/>
          <w:i/>
          <w:iCs/>
          <w:sz w:val="25"/>
          <w:szCs w:val="25"/>
          <w:lang w:val="es-MX"/>
        </w:rPr>
        <w:t>Del texto a la acción</w:t>
      </w:r>
      <w:r>
        <w:rPr>
          <w:rFonts w:ascii="Garamond" w:hAnsi="Garamond" w:cs="Garamond"/>
          <w:sz w:val="25"/>
          <w:szCs w:val="25"/>
          <w:lang w:val="es-MX"/>
        </w:rPr>
        <w:t>, Buenos Aires, Docencia, 1985.</w:t>
      </w:r>
    </w:p>
    <w:p w:rsidR="004039D6" w:rsidRDefault="004039D6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proofErr w:type="spellStart"/>
      <w:r>
        <w:rPr>
          <w:rFonts w:ascii="Garamond" w:hAnsi="Garamond" w:cs="Garamond"/>
          <w:sz w:val="25"/>
          <w:szCs w:val="25"/>
          <w:lang w:val="es-MX"/>
        </w:rPr>
        <w:t>Schuster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, Federico, "Exposición (hermenéutica y ciencias sociales)", en </w:t>
      </w:r>
      <w:r>
        <w:rPr>
          <w:rFonts w:ascii="Garamond" w:hAnsi="Garamond" w:cs="Garamond"/>
          <w:i/>
          <w:iCs/>
          <w:sz w:val="25"/>
          <w:szCs w:val="25"/>
          <w:lang w:val="es-MX"/>
        </w:rPr>
        <w:t>El oficio del investigador</w:t>
      </w:r>
      <w:r>
        <w:rPr>
          <w:rFonts w:ascii="Garamond" w:hAnsi="Garamond" w:cs="Garamond"/>
          <w:sz w:val="25"/>
          <w:szCs w:val="25"/>
          <w:lang w:val="es-MX"/>
        </w:rPr>
        <w:t>, Rosario, Homo Sapiens, 1995.</w:t>
      </w:r>
    </w:p>
    <w:p w:rsidR="004039D6" w:rsidRDefault="004039D6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>
      <w:pPr>
        <w:numPr>
          <w:ilvl w:val="0"/>
          <w:numId w:val="1"/>
        </w:numPr>
        <w:jc w:val="both"/>
        <w:rPr>
          <w:rFonts w:ascii="Garamond" w:hAnsi="Garamond" w:cs="Garamond"/>
          <w:b/>
          <w:bCs/>
          <w:sz w:val="25"/>
          <w:szCs w:val="25"/>
          <w:lang w:val="es-MX"/>
        </w:rPr>
      </w:pPr>
      <w:r>
        <w:rPr>
          <w:rFonts w:ascii="Garamond" w:hAnsi="Garamond" w:cs="Garamond"/>
          <w:b/>
          <w:bCs/>
          <w:sz w:val="25"/>
          <w:szCs w:val="25"/>
          <w:lang w:val="es-MX"/>
        </w:rPr>
        <w:t>La interpretación en psicoanálisis.</w:t>
      </w:r>
    </w:p>
    <w:p w:rsidR="004039D6" w:rsidRDefault="004039D6">
      <w:pPr>
        <w:jc w:val="both"/>
        <w:rPr>
          <w:rFonts w:ascii="Garamond" w:hAnsi="Garamond" w:cs="Garamond"/>
          <w:b/>
          <w:bCs/>
          <w:sz w:val="25"/>
          <w:szCs w:val="25"/>
          <w:lang w:val="es-MX"/>
        </w:rPr>
      </w:pPr>
    </w:p>
    <w:p w:rsidR="004039D6" w:rsidRDefault="004039D6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>El concepto de interpretación en Freud. La interpretación y los sueños. Interpretaciones y construcciones en análisis. Interpretación y criterio de verificación. Interpretación y sesión.</w:t>
      </w:r>
    </w:p>
    <w:p w:rsidR="004039D6" w:rsidRDefault="004039D6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>
      <w:pPr>
        <w:pStyle w:val="Ttulo1"/>
      </w:pPr>
      <w:r>
        <w:t>BIBLIOGRAFÍA</w:t>
      </w:r>
    </w:p>
    <w:p w:rsidR="004039D6" w:rsidRDefault="004039D6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 xml:space="preserve">Freud, S., "La interpretación de los sueños" (1900), en </w:t>
      </w:r>
      <w:r>
        <w:rPr>
          <w:rFonts w:ascii="Garamond" w:hAnsi="Garamond" w:cs="Garamond"/>
          <w:i/>
          <w:iCs/>
          <w:sz w:val="25"/>
          <w:szCs w:val="25"/>
          <w:lang w:val="es-MX"/>
        </w:rPr>
        <w:t>Obras Completas</w:t>
      </w:r>
      <w:r>
        <w:rPr>
          <w:rFonts w:ascii="Garamond" w:hAnsi="Garamond" w:cs="Garamond"/>
          <w:sz w:val="25"/>
          <w:szCs w:val="25"/>
          <w:lang w:val="es-MX"/>
        </w:rPr>
        <w:t xml:space="preserve">, Vol. IV y V, Buenos Aires,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Amorrortu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>, 1989.</w:t>
      </w:r>
    </w:p>
    <w:p w:rsidR="004039D6" w:rsidRDefault="004039D6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 xml:space="preserve">Freud, S., "El uso de la interpretación de los sueños en el psicoanálisis" (1911), en </w:t>
      </w:r>
      <w:r>
        <w:rPr>
          <w:rFonts w:ascii="Garamond" w:hAnsi="Garamond" w:cs="Garamond"/>
          <w:i/>
          <w:iCs/>
          <w:sz w:val="25"/>
          <w:szCs w:val="25"/>
          <w:lang w:val="es-MX"/>
        </w:rPr>
        <w:t>Obras Completas,</w:t>
      </w:r>
      <w:r>
        <w:rPr>
          <w:rFonts w:ascii="Garamond" w:hAnsi="Garamond" w:cs="Garamond"/>
          <w:sz w:val="25"/>
          <w:szCs w:val="25"/>
          <w:lang w:val="es-MX"/>
        </w:rPr>
        <w:t xml:space="preserve">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Vol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XII, Buenos Aires,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Amorrortu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>, 1993.</w:t>
      </w:r>
    </w:p>
    <w:p w:rsidR="004039D6" w:rsidRDefault="004039D6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>Freud, S., "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Construccciones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en el análisis" (1937), en </w:t>
      </w:r>
      <w:r>
        <w:rPr>
          <w:rFonts w:ascii="Garamond" w:hAnsi="Garamond" w:cs="Garamond"/>
          <w:i/>
          <w:iCs/>
          <w:sz w:val="25"/>
          <w:szCs w:val="25"/>
          <w:lang w:val="es-MX"/>
        </w:rPr>
        <w:t>Obras Completas</w:t>
      </w:r>
      <w:r>
        <w:rPr>
          <w:rFonts w:ascii="Garamond" w:hAnsi="Garamond" w:cs="Garamond"/>
          <w:sz w:val="25"/>
          <w:szCs w:val="25"/>
          <w:lang w:val="es-MX"/>
        </w:rPr>
        <w:t xml:space="preserve">,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Vol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XXIII, Buenos Aires,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Amorrortu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>, 1993.</w:t>
      </w:r>
    </w:p>
    <w:p w:rsidR="00B8302F" w:rsidRDefault="00B8302F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proofErr w:type="spellStart"/>
      <w:r w:rsidRPr="00D721F7">
        <w:rPr>
          <w:rFonts w:ascii="Times New Roman" w:hAnsi="Times New Roman" w:cs="Times New Roman"/>
          <w:sz w:val="24"/>
          <w:szCs w:val="24"/>
        </w:rPr>
        <w:t>Ginzburg</w:t>
      </w:r>
      <w:proofErr w:type="spellEnd"/>
      <w:r w:rsidRPr="00D721F7">
        <w:rPr>
          <w:rFonts w:ascii="Times New Roman" w:hAnsi="Times New Roman" w:cs="Times New Roman"/>
          <w:sz w:val="24"/>
          <w:szCs w:val="24"/>
        </w:rPr>
        <w:t xml:space="preserve">, Carlo [1986] 1994 </w:t>
      </w:r>
      <w:r w:rsidRPr="00D721F7">
        <w:rPr>
          <w:rFonts w:ascii="Times New Roman" w:hAnsi="Times New Roman" w:cs="Times New Roman"/>
          <w:i/>
          <w:sz w:val="24"/>
          <w:szCs w:val="24"/>
        </w:rPr>
        <w:t xml:space="preserve">Mitos, emblemas e indicios. </w:t>
      </w:r>
      <w:r>
        <w:rPr>
          <w:rFonts w:ascii="Times New Roman" w:hAnsi="Times New Roman" w:cs="Times New Roman"/>
          <w:i/>
          <w:sz w:val="24"/>
          <w:szCs w:val="24"/>
        </w:rPr>
        <w:t>Morfología e historia.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Gedisa</w:t>
      </w:r>
      <w:proofErr w:type="spellEnd"/>
      <w:r>
        <w:rPr>
          <w:rFonts w:ascii="Times New Roman" w:hAnsi="Times New Roman" w:cs="Times New Roman"/>
          <w:sz w:val="24"/>
          <w:szCs w:val="24"/>
        </w:rPr>
        <w:t>, Barcelona</w:t>
      </w:r>
    </w:p>
    <w:p w:rsidR="00671D3C" w:rsidRPr="00B8302F" w:rsidRDefault="00671D3C" w:rsidP="00B830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302F">
        <w:rPr>
          <w:rFonts w:ascii="Garamond" w:hAnsi="Garamond" w:cs="Garamond"/>
          <w:sz w:val="25"/>
          <w:szCs w:val="25"/>
          <w:lang w:val="es-MX"/>
        </w:rPr>
        <w:t xml:space="preserve">-    </w:t>
      </w:r>
      <w:proofErr w:type="spellStart"/>
      <w:r w:rsidRPr="00B8302F">
        <w:rPr>
          <w:rFonts w:ascii="Garamond" w:hAnsi="Garamond" w:cs="Garamond"/>
          <w:sz w:val="25"/>
          <w:szCs w:val="25"/>
          <w:lang w:val="es-MX"/>
        </w:rPr>
        <w:t>Klimovsky</w:t>
      </w:r>
      <w:proofErr w:type="spellEnd"/>
      <w:r w:rsidRPr="00B8302F">
        <w:rPr>
          <w:rFonts w:ascii="Garamond" w:hAnsi="Garamond" w:cs="Garamond"/>
          <w:sz w:val="25"/>
          <w:szCs w:val="25"/>
          <w:lang w:val="es-MX"/>
        </w:rPr>
        <w:t xml:space="preserve">, G. “El concepto de interpretación en psicoanálisis”, en </w:t>
      </w:r>
      <w:r w:rsidRPr="00B8302F">
        <w:rPr>
          <w:rFonts w:ascii="Garamond" w:hAnsi="Garamond" w:cs="Garamond"/>
          <w:i/>
          <w:sz w:val="25"/>
          <w:szCs w:val="25"/>
          <w:lang w:val="es-MX"/>
        </w:rPr>
        <w:t>Epistemología y    psicoanálisis.</w:t>
      </w:r>
      <w:r w:rsidRPr="00B8302F">
        <w:rPr>
          <w:rFonts w:ascii="Garamond" w:hAnsi="Garamond" w:cs="Garamond"/>
          <w:sz w:val="25"/>
          <w:szCs w:val="25"/>
          <w:lang w:val="es-MX"/>
        </w:rPr>
        <w:t xml:space="preserve"> Tomo</w:t>
      </w:r>
      <w:r w:rsidRPr="00B8302F">
        <w:rPr>
          <w:rFonts w:ascii="Times New Roman" w:hAnsi="Times New Roman" w:cs="Times New Roman"/>
          <w:sz w:val="24"/>
          <w:szCs w:val="24"/>
        </w:rPr>
        <w:t xml:space="preserve"> III, Buenos Aires, Ediciones </w:t>
      </w:r>
      <w:proofErr w:type="spellStart"/>
      <w:r w:rsidRPr="00B8302F">
        <w:rPr>
          <w:rFonts w:ascii="Times New Roman" w:hAnsi="Times New Roman" w:cs="Times New Roman"/>
          <w:sz w:val="24"/>
          <w:szCs w:val="24"/>
        </w:rPr>
        <w:t>Beibel</w:t>
      </w:r>
      <w:proofErr w:type="spellEnd"/>
      <w:r w:rsidRPr="00B8302F">
        <w:rPr>
          <w:rFonts w:ascii="Times New Roman" w:hAnsi="Times New Roman" w:cs="Times New Roman"/>
          <w:sz w:val="24"/>
          <w:szCs w:val="24"/>
        </w:rPr>
        <w:t>. 2004</w:t>
      </w:r>
    </w:p>
    <w:p w:rsidR="004039D6" w:rsidRDefault="004039D6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proofErr w:type="spellStart"/>
      <w:r>
        <w:rPr>
          <w:rFonts w:ascii="Garamond" w:hAnsi="Garamond" w:cs="Garamond"/>
          <w:sz w:val="25"/>
          <w:szCs w:val="25"/>
          <w:lang w:val="es-MX"/>
        </w:rPr>
        <w:t>Wisdom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, J.O., "Puesta a prueba de una interpretación en el curso de una sesión", en </w:t>
      </w:r>
      <w:r>
        <w:rPr>
          <w:rFonts w:ascii="Garamond" w:hAnsi="Garamond" w:cs="Garamond"/>
          <w:i/>
          <w:iCs/>
          <w:sz w:val="25"/>
          <w:szCs w:val="25"/>
          <w:lang w:val="es-MX"/>
        </w:rPr>
        <w:t>Revista de Psicoanálisis</w:t>
      </w:r>
      <w:r>
        <w:rPr>
          <w:rFonts w:ascii="Garamond" w:hAnsi="Garamond" w:cs="Garamond"/>
          <w:sz w:val="25"/>
          <w:szCs w:val="25"/>
          <w:lang w:val="es-MX"/>
        </w:rPr>
        <w:t>, N° 2, Tomo XXVI, Buenos Aires, Abril-Junio de 1969.</w:t>
      </w:r>
    </w:p>
    <w:p w:rsidR="004039D6" w:rsidRDefault="004039D6">
      <w:pPr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>
      <w:pPr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>
      <w:pPr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>
      <w:pPr>
        <w:numPr>
          <w:ilvl w:val="0"/>
          <w:numId w:val="1"/>
        </w:numPr>
        <w:jc w:val="both"/>
        <w:rPr>
          <w:rFonts w:ascii="Garamond" w:hAnsi="Garamond" w:cs="Garamond"/>
          <w:b/>
          <w:bCs/>
          <w:sz w:val="25"/>
          <w:szCs w:val="25"/>
          <w:lang w:val="es-MX"/>
        </w:rPr>
      </w:pPr>
      <w:r>
        <w:rPr>
          <w:rFonts w:ascii="Garamond" w:hAnsi="Garamond" w:cs="Garamond"/>
          <w:b/>
          <w:bCs/>
          <w:sz w:val="25"/>
          <w:szCs w:val="25"/>
          <w:lang w:val="es-MX"/>
        </w:rPr>
        <w:t>La interpretación en historia</w:t>
      </w:r>
      <w:r w:rsidR="00671D3C">
        <w:rPr>
          <w:rFonts w:ascii="Garamond" w:hAnsi="Garamond" w:cs="Garamond"/>
          <w:b/>
          <w:bCs/>
          <w:sz w:val="25"/>
          <w:szCs w:val="25"/>
          <w:lang w:val="es-MX"/>
        </w:rPr>
        <w:t xml:space="preserve"> y antropología</w:t>
      </w:r>
      <w:r>
        <w:rPr>
          <w:rFonts w:ascii="Garamond" w:hAnsi="Garamond" w:cs="Garamond"/>
          <w:b/>
          <w:bCs/>
          <w:sz w:val="25"/>
          <w:szCs w:val="25"/>
          <w:lang w:val="es-MX"/>
        </w:rPr>
        <w:t>.</w:t>
      </w:r>
    </w:p>
    <w:p w:rsidR="004039D6" w:rsidRDefault="004039D6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>Explicación e interpretación en historia</w:t>
      </w:r>
      <w:r w:rsidR="00671D3C">
        <w:rPr>
          <w:rFonts w:ascii="Garamond" w:hAnsi="Garamond" w:cs="Garamond"/>
          <w:sz w:val="25"/>
          <w:szCs w:val="25"/>
          <w:lang w:val="es-MX"/>
        </w:rPr>
        <w:t xml:space="preserve"> y antropología</w:t>
      </w:r>
      <w:r>
        <w:rPr>
          <w:rFonts w:ascii="Garamond" w:hAnsi="Garamond" w:cs="Garamond"/>
          <w:sz w:val="25"/>
          <w:szCs w:val="25"/>
          <w:lang w:val="es-MX"/>
        </w:rPr>
        <w:t xml:space="preserve">. El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narrativismo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histórico. La narrativa y el mundo real. La </w:t>
      </w:r>
      <w:r w:rsidR="00671D3C">
        <w:rPr>
          <w:rFonts w:ascii="Garamond" w:hAnsi="Garamond" w:cs="Garamond"/>
          <w:sz w:val="25"/>
          <w:szCs w:val="25"/>
          <w:lang w:val="es-MX"/>
        </w:rPr>
        <w:t>interpretación de las culturas. La cultura como “texto” actuado en la obra.</w:t>
      </w:r>
      <w:r>
        <w:rPr>
          <w:rFonts w:ascii="Garamond" w:hAnsi="Garamond" w:cs="Garamond"/>
          <w:sz w:val="25"/>
          <w:szCs w:val="25"/>
          <w:lang w:val="es-MX"/>
        </w:rPr>
        <w:t xml:space="preserve"> </w:t>
      </w:r>
    </w:p>
    <w:p w:rsidR="004039D6" w:rsidRDefault="004039D6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>
      <w:pPr>
        <w:pStyle w:val="Ttulo1"/>
      </w:pPr>
      <w:r>
        <w:t>BIBLIOGRAFÍA</w:t>
      </w:r>
    </w:p>
    <w:p w:rsidR="004039D6" w:rsidRDefault="004039D6">
      <w:pPr>
        <w:ind w:left="360"/>
        <w:jc w:val="both"/>
        <w:rPr>
          <w:rFonts w:ascii="Garamond" w:hAnsi="Garamond" w:cs="Garamond"/>
          <w:sz w:val="25"/>
          <w:szCs w:val="25"/>
          <w:u w:val="single"/>
          <w:lang w:val="es-MX"/>
        </w:rPr>
      </w:pPr>
    </w:p>
    <w:p w:rsidR="004039D6" w:rsidRDefault="004039D6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proofErr w:type="spellStart"/>
      <w:r>
        <w:rPr>
          <w:rFonts w:ascii="Garamond" w:hAnsi="Garamond" w:cs="Garamond"/>
          <w:sz w:val="25"/>
          <w:szCs w:val="25"/>
          <w:lang w:val="es-MX"/>
        </w:rPr>
        <w:t>Carr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, D. "Narrativa y el mundo real: un argumento para la continuidad", en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Carr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, D. </w:t>
      </w:r>
      <w:proofErr w:type="spellStart"/>
      <w:r>
        <w:rPr>
          <w:rFonts w:ascii="Garamond" w:hAnsi="Garamond" w:cs="Garamond"/>
          <w:i/>
          <w:iCs/>
          <w:sz w:val="25"/>
          <w:szCs w:val="25"/>
          <w:lang w:val="es-MX"/>
        </w:rPr>
        <w:t>History</w:t>
      </w:r>
      <w:proofErr w:type="spellEnd"/>
      <w:r>
        <w:rPr>
          <w:rFonts w:ascii="Garamond" w:hAnsi="Garamond" w:cs="Garamond"/>
          <w:i/>
          <w:iCs/>
          <w:sz w:val="25"/>
          <w:szCs w:val="25"/>
          <w:lang w:val="es-MX"/>
        </w:rPr>
        <w:t xml:space="preserve"> and </w:t>
      </w:r>
      <w:proofErr w:type="spellStart"/>
      <w:r>
        <w:rPr>
          <w:rFonts w:ascii="Garamond" w:hAnsi="Garamond" w:cs="Garamond"/>
          <w:i/>
          <w:iCs/>
          <w:sz w:val="25"/>
          <w:szCs w:val="25"/>
          <w:lang w:val="es-MX"/>
        </w:rPr>
        <w:t>Theory</w:t>
      </w:r>
      <w:proofErr w:type="spellEnd"/>
      <w:r>
        <w:rPr>
          <w:rFonts w:ascii="Garamond" w:hAnsi="Garamond" w:cs="Garamond"/>
          <w:i/>
          <w:iCs/>
          <w:sz w:val="25"/>
          <w:szCs w:val="25"/>
          <w:lang w:val="es-MX"/>
        </w:rPr>
        <w:t xml:space="preserve"> </w:t>
      </w:r>
      <w:r>
        <w:rPr>
          <w:rFonts w:ascii="Garamond" w:hAnsi="Garamond" w:cs="Garamond"/>
          <w:sz w:val="25"/>
          <w:szCs w:val="25"/>
          <w:lang w:val="es-MX"/>
        </w:rPr>
        <w:t>(1986)</w:t>
      </w:r>
    </w:p>
    <w:p w:rsidR="004039D6" w:rsidRDefault="004039D6">
      <w:pPr>
        <w:numPr>
          <w:ilvl w:val="0"/>
          <w:numId w:val="2"/>
        </w:numPr>
        <w:jc w:val="both"/>
        <w:rPr>
          <w:rFonts w:ascii="Garamond" w:hAnsi="Garamond" w:cs="Garamond"/>
          <w:i/>
          <w:iCs/>
          <w:sz w:val="25"/>
          <w:szCs w:val="25"/>
          <w:lang w:val="es-MX"/>
        </w:rPr>
      </w:pPr>
      <w:proofErr w:type="spellStart"/>
      <w:r>
        <w:rPr>
          <w:rFonts w:ascii="Garamond" w:hAnsi="Garamond" w:cs="Garamond"/>
          <w:sz w:val="25"/>
          <w:szCs w:val="25"/>
          <w:lang w:val="es-MX"/>
        </w:rPr>
        <w:t>Hempel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, C., "La función de las leyes generales en historia", </w:t>
      </w:r>
      <w:r>
        <w:rPr>
          <w:rFonts w:ascii="Garamond" w:hAnsi="Garamond" w:cs="Garamond"/>
          <w:i/>
          <w:iCs/>
          <w:sz w:val="25"/>
          <w:szCs w:val="25"/>
          <w:lang w:val="es-MX"/>
        </w:rPr>
        <w:t>Cuaderno de Epistemología.</w:t>
      </w:r>
    </w:p>
    <w:p w:rsidR="00671D3C" w:rsidRPr="00450A11" w:rsidRDefault="00671D3C" w:rsidP="00671D3C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      -    </w:t>
      </w:r>
      <w:proofErr w:type="spellStart"/>
      <w:r w:rsidRPr="00450A11">
        <w:rPr>
          <w:rFonts w:ascii="Times New Roman" w:hAnsi="Times New Roman" w:cs="Times New Roman"/>
          <w:sz w:val="24"/>
          <w:szCs w:val="24"/>
          <w:lang w:val="es-MX"/>
        </w:rPr>
        <w:t>Geertz</w:t>
      </w:r>
      <w:proofErr w:type="spellEnd"/>
      <w:r w:rsidRPr="00450A11">
        <w:rPr>
          <w:rFonts w:ascii="Times New Roman" w:hAnsi="Times New Roman" w:cs="Times New Roman"/>
          <w:sz w:val="24"/>
          <w:szCs w:val="24"/>
          <w:lang w:val="es-MX"/>
        </w:rPr>
        <w:t>, C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., </w:t>
      </w:r>
      <w:r w:rsidRPr="00450A11">
        <w:rPr>
          <w:rFonts w:ascii="Times New Roman" w:hAnsi="Times New Roman" w:cs="Times New Roman"/>
          <w:i/>
          <w:sz w:val="24"/>
          <w:szCs w:val="24"/>
          <w:lang w:val="es-MX"/>
        </w:rPr>
        <w:t>La interpretación de las culturas</w:t>
      </w:r>
      <w:r w:rsidRPr="00450A11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50A11">
        <w:rPr>
          <w:rFonts w:ascii="Times New Roman" w:hAnsi="Times New Roman" w:cs="Times New Roman"/>
          <w:sz w:val="24"/>
          <w:szCs w:val="24"/>
          <w:lang w:val="es-MX"/>
        </w:rPr>
        <w:t>Gedisa</w:t>
      </w:r>
      <w:proofErr w:type="spellEnd"/>
      <w:r w:rsidRPr="00450A11">
        <w:rPr>
          <w:rFonts w:ascii="Times New Roman" w:hAnsi="Times New Roman" w:cs="Times New Roman"/>
          <w:sz w:val="24"/>
          <w:szCs w:val="24"/>
          <w:lang w:val="es-MX"/>
        </w:rPr>
        <w:t>, Buenos Aires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671D3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50A11">
        <w:rPr>
          <w:rFonts w:ascii="Times New Roman" w:hAnsi="Times New Roman" w:cs="Times New Roman"/>
          <w:sz w:val="24"/>
          <w:szCs w:val="24"/>
          <w:lang w:val="es-MX"/>
        </w:rPr>
        <w:t>(1973) 1999</w:t>
      </w:r>
    </w:p>
    <w:p w:rsidR="00671D3C" w:rsidRPr="00B8302F" w:rsidRDefault="00671D3C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Greenblatt, S.</w:t>
      </w:r>
      <w:r w:rsidRPr="00450A11">
        <w:rPr>
          <w:rFonts w:ascii="Times New Roman" w:hAnsi="Times New Roman" w:cs="Times New Roman"/>
          <w:sz w:val="24"/>
          <w:szCs w:val="24"/>
          <w:lang w:val="en-US"/>
        </w:rPr>
        <w:t xml:space="preserve"> "The Touch of the Real". </w:t>
      </w:r>
      <w:r w:rsidRPr="00450A11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Fate of "Culture" Geertz and Beyond,</w:t>
      </w:r>
      <w:r w:rsidRPr="00450A11">
        <w:rPr>
          <w:rFonts w:ascii="Times New Roman" w:hAnsi="Times New Roman" w:cs="Times New Roman"/>
          <w:sz w:val="24"/>
          <w:szCs w:val="24"/>
          <w:lang w:val="en-US"/>
        </w:rPr>
        <w:t xml:space="preserve"> Sherry B. </w:t>
      </w:r>
      <w:proofErr w:type="spellStart"/>
      <w:r w:rsidRPr="00450A11">
        <w:rPr>
          <w:rFonts w:ascii="Times New Roman" w:hAnsi="Times New Roman" w:cs="Times New Roman"/>
          <w:sz w:val="24"/>
          <w:szCs w:val="24"/>
          <w:lang w:val="en-US"/>
        </w:rPr>
        <w:t>Ortner</w:t>
      </w:r>
      <w:proofErr w:type="spellEnd"/>
      <w:r w:rsidRPr="00450A11">
        <w:rPr>
          <w:rFonts w:ascii="Times New Roman" w:hAnsi="Times New Roman" w:cs="Times New Roman"/>
          <w:sz w:val="24"/>
          <w:szCs w:val="24"/>
          <w:lang w:val="en-US"/>
        </w:rPr>
        <w:t xml:space="preserve"> (ed.)</w:t>
      </w:r>
      <w:proofErr w:type="gramStart"/>
      <w:r w:rsidRPr="00450A11">
        <w:rPr>
          <w:rFonts w:ascii="Times New Roman" w:hAnsi="Times New Roman" w:cs="Times New Roman"/>
          <w:sz w:val="24"/>
          <w:szCs w:val="24"/>
          <w:lang w:val="en-US"/>
        </w:rPr>
        <w:t>,.</w:t>
      </w:r>
      <w:proofErr w:type="gramEnd"/>
      <w:r w:rsidRPr="00450A11">
        <w:rPr>
          <w:rFonts w:ascii="Times New Roman" w:hAnsi="Times New Roman" w:cs="Times New Roman"/>
          <w:sz w:val="24"/>
          <w:szCs w:val="24"/>
          <w:lang w:val="en-GB"/>
        </w:rPr>
        <w:t xml:space="preserve"> Berkeley, </w:t>
      </w:r>
      <w:smartTag w:uri="urn:schemas-microsoft-com:office:smarttags" w:element="PlaceType">
        <w:smartTag w:uri="urn:schemas-microsoft-com:office:smarttags" w:element="place">
          <w:r w:rsidRPr="00450A11">
            <w:rPr>
              <w:rFonts w:ascii="Times New Roman" w:hAnsi="Times New Roman" w:cs="Times New Roman"/>
              <w:sz w:val="24"/>
              <w:szCs w:val="24"/>
              <w:lang w:val="en-GB"/>
            </w:rPr>
            <w:t>University</w:t>
          </w:r>
        </w:smartTag>
        <w:r w:rsidRPr="00450A11">
          <w:rPr>
            <w:rFonts w:ascii="Times New Roman" w:hAnsi="Times New Roman" w:cs="Times New Roman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 w:rsidRPr="00450A11">
            <w:rPr>
              <w:rFonts w:ascii="Times New Roman" w:hAnsi="Times New Roman" w:cs="Times New Roman"/>
              <w:sz w:val="24"/>
              <w:szCs w:val="24"/>
              <w:lang w:val="en-GB"/>
            </w:rPr>
            <w:t>California</w:t>
          </w:r>
        </w:smartTag>
      </w:smartTag>
      <w:r w:rsidRPr="00450A11">
        <w:rPr>
          <w:rFonts w:ascii="Times New Roman" w:hAnsi="Times New Roman" w:cs="Times New Roman"/>
          <w:sz w:val="24"/>
          <w:szCs w:val="24"/>
          <w:lang w:val="en-GB"/>
        </w:rPr>
        <w:t xml:space="preserve"> Press.</w:t>
      </w:r>
      <w:r w:rsidRPr="00450A11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en-US"/>
        </w:rPr>
        <w:t>, 199</w:t>
      </w:r>
      <w:r w:rsidR="00B8302F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8302F" w:rsidRDefault="00B8302F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proofErr w:type="spellStart"/>
      <w:r w:rsidRPr="00B8302F">
        <w:rPr>
          <w:rFonts w:ascii="Times New Roman" w:hAnsi="Times New Roman" w:cs="Times New Roman"/>
          <w:sz w:val="24"/>
          <w:szCs w:val="24"/>
          <w:lang w:val="es-AR"/>
        </w:rPr>
        <w:t>Tozzi</w:t>
      </w:r>
      <w:proofErr w:type="spellEnd"/>
      <w:r w:rsidRPr="00B8302F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B8302F">
        <w:rPr>
          <w:rFonts w:ascii="Times New Roman" w:hAnsi="Times New Roman" w:cs="Times New Roman"/>
          <w:sz w:val="24"/>
          <w:szCs w:val="24"/>
          <w:lang w:val="es-AR"/>
        </w:rPr>
        <w:t>V.</w:t>
      </w:r>
      <w:r w:rsidRPr="00B8302F">
        <w:rPr>
          <w:rFonts w:ascii="Times New Roman" w:hAnsi="Times New Roman" w:cs="Times New Roman"/>
          <w:i/>
          <w:sz w:val="24"/>
          <w:szCs w:val="24"/>
          <w:lang w:val="es-AR"/>
        </w:rPr>
        <w:t>La</w:t>
      </w:r>
      <w:proofErr w:type="spellEnd"/>
      <w:r w:rsidRPr="00B8302F">
        <w:rPr>
          <w:rFonts w:ascii="Times New Roman" w:hAnsi="Times New Roman" w:cs="Times New Roman"/>
          <w:i/>
          <w:sz w:val="24"/>
          <w:szCs w:val="24"/>
          <w:lang w:val="es-AR"/>
        </w:rPr>
        <w:t xml:space="preserve"> historia según la nueva filosof</w:t>
      </w:r>
      <w:r>
        <w:rPr>
          <w:rFonts w:ascii="Times New Roman" w:hAnsi="Times New Roman" w:cs="Times New Roman"/>
          <w:i/>
          <w:sz w:val="24"/>
          <w:szCs w:val="24"/>
          <w:lang w:val="es-AR"/>
        </w:rPr>
        <w:t>ía de la historia</w:t>
      </w:r>
      <w:r>
        <w:rPr>
          <w:rFonts w:ascii="Times New Roman" w:hAnsi="Times New Roman" w:cs="Times New Roman"/>
          <w:sz w:val="24"/>
          <w:szCs w:val="24"/>
          <w:lang w:val="es-AR"/>
        </w:rPr>
        <w:t>. Prometeo, Buenos Aires. 2009.</w:t>
      </w:r>
    </w:p>
    <w:p w:rsidR="004039D6" w:rsidRDefault="004039D6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 xml:space="preserve">White, H., </w:t>
      </w:r>
      <w:proofErr w:type="spellStart"/>
      <w:r>
        <w:rPr>
          <w:rFonts w:ascii="Garamond" w:hAnsi="Garamond" w:cs="Garamond"/>
          <w:i/>
          <w:iCs/>
          <w:sz w:val="25"/>
          <w:szCs w:val="25"/>
          <w:lang w:val="es-MX"/>
        </w:rPr>
        <w:t>E</w:t>
      </w:r>
      <w:r w:rsidR="00B8302F">
        <w:rPr>
          <w:rFonts w:ascii="Garamond" w:hAnsi="Garamond" w:cs="Garamond"/>
          <w:i/>
          <w:iCs/>
          <w:sz w:val="25"/>
          <w:szCs w:val="25"/>
          <w:lang w:val="es-MX"/>
        </w:rPr>
        <w:t>Metahistoria</w:t>
      </w:r>
      <w:proofErr w:type="spellEnd"/>
      <w:r w:rsidR="00B8302F">
        <w:rPr>
          <w:rFonts w:ascii="Garamond" w:hAnsi="Garamond" w:cs="Garamond"/>
          <w:i/>
          <w:iCs/>
          <w:sz w:val="25"/>
          <w:szCs w:val="25"/>
          <w:lang w:val="es-MX"/>
        </w:rPr>
        <w:t xml:space="preserve">. La imaginación histórica en </w:t>
      </w:r>
      <w:smartTag w:uri="urn:schemas-microsoft-com:office:smarttags" w:element="PersonName">
        <w:smartTagPr>
          <w:attr w:name="ProductID" w:val="la Europa"/>
        </w:smartTagPr>
        <w:r w:rsidR="00B8302F">
          <w:rPr>
            <w:rFonts w:ascii="Garamond" w:hAnsi="Garamond" w:cs="Garamond"/>
            <w:i/>
            <w:iCs/>
            <w:sz w:val="25"/>
            <w:szCs w:val="25"/>
            <w:lang w:val="es-MX"/>
          </w:rPr>
          <w:t>la Europa</w:t>
        </w:r>
      </w:smartTag>
      <w:r w:rsidR="00B8302F">
        <w:rPr>
          <w:rFonts w:ascii="Garamond" w:hAnsi="Garamond" w:cs="Garamond"/>
          <w:i/>
          <w:iCs/>
          <w:sz w:val="25"/>
          <w:szCs w:val="25"/>
          <w:lang w:val="es-MX"/>
        </w:rPr>
        <w:t xml:space="preserve"> del siglo XIX</w:t>
      </w:r>
      <w:r>
        <w:rPr>
          <w:rFonts w:ascii="Garamond" w:hAnsi="Garamond" w:cs="Garamond"/>
          <w:sz w:val="25"/>
          <w:szCs w:val="25"/>
          <w:lang w:val="es-MX"/>
        </w:rPr>
        <w:t xml:space="preserve">, </w:t>
      </w:r>
      <w:r w:rsidR="00B8302F">
        <w:rPr>
          <w:rFonts w:ascii="Garamond" w:hAnsi="Garamond" w:cs="Garamond"/>
          <w:sz w:val="25"/>
          <w:szCs w:val="25"/>
          <w:lang w:val="es-MX"/>
        </w:rPr>
        <w:t>(</w:t>
      </w:r>
      <w:r>
        <w:rPr>
          <w:rFonts w:ascii="Garamond" w:hAnsi="Garamond" w:cs="Garamond"/>
          <w:sz w:val="25"/>
          <w:szCs w:val="25"/>
          <w:lang w:val="es-MX"/>
        </w:rPr>
        <w:t>19</w:t>
      </w:r>
      <w:r w:rsidR="00B8302F">
        <w:rPr>
          <w:rFonts w:ascii="Garamond" w:hAnsi="Garamond" w:cs="Garamond"/>
          <w:sz w:val="25"/>
          <w:szCs w:val="25"/>
          <w:lang w:val="es-MX"/>
        </w:rPr>
        <w:t>73) 1992</w:t>
      </w:r>
      <w:r>
        <w:rPr>
          <w:rFonts w:ascii="Garamond" w:hAnsi="Garamond" w:cs="Garamond"/>
          <w:sz w:val="25"/>
          <w:szCs w:val="25"/>
          <w:lang w:val="es-MX"/>
        </w:rPr>
        <w:t>.</w:t>
      </w:r>
    </w:p>
    <w:p w:rsidR="00771210" w:rsidRDefault="00771210" w:rsidP="00771210">
      <w:pPr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771210" w:rsidRDefault="00771210" w:rsidP="00771210">
      <w:pPr>
        <w:numPr>
          <w:ilvl w:val="0"/>
          <w:numId w:val="1"/>
        </w:numPr>
        <w:jc w:val="both"/>
        <w:rPr>
          <w:rFonts w:ascii="Garamond" w:hAnsi="Garamond" w:cs="Garamond"/>
          <w:b/>
          <w:bCs/>
          <w:sz w:val="25"/>
          <w:szCs w:val="25"/>
          <w:lang w:val="es-MX"/>
        </w:rPr>
      </w:pPr>
      <w:r>
        <w:rPr>
          <w:rFonts w:ascii="Garamond" w:hAnsi="Garamond" w:cs="Garamond"/>
          <w:b/>
          <w:bCs/>
          <w:sz w:val="25"/>
          <w:szCs w:val="25"/>
          <w:lang w:val="es-MX"/>
        </w:rPr>
        <w:t xml:space="preserve">Recapitulación y síntesis </w:t>
      </w:r>
    </w:p>
    <w:p w:rsidR="00771210" w:rsidRDefault="00771210" w:rsidP="00771210">
      <w:pPr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771210" w:rsidRPr="00771210" w:rsidRDefault="00771210" w:rsidP="00771210">
      <w:pPr>
        <w:ind w:left="360"/>
        <w:jc w:val="both"/>
      </w:pPr>
      <w:r>
        <w:rPr>
          <w:rFonts w:ascii="Garamond" w:hAnsi="Garamond" w:cs="Garamond"/>
          <w:sz w:val="25"/>
          <w:szCs w:val="25"/>
          <w:lang w:val="es-MX"/>
        </w:rPr>
        <w:t xml:space="preserve">Revisión de los conceptos y ejemplos desarrollados en el Seminario a través de la discusión de la obra de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Umberto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</w:t>
      </w:r>
      <w:proofErr w:type="gramStart"/>
      <w:r>
        <w:rPr>
          <w:rFonts w:ascii="Garamond" w:hAnsi="Garamond" w:cs="Garamond"/>
          <w:sz w:val="25"/>
          <w:szCs w:val="25"/>
          <w:lang w:val="es-MX"/>
        </w:rPr>
        <w:t xml:space="preserve">Eco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771210">
        <w:rPr>
          <w:rFonts w:ascii="Garamond" w:hAnsi="Garamond" w:cs="Garamond"/>
          <w:i/>
          <w:sz w:val="25"/>
          <w:szCs w:val="25"/>
          <w:lang w:val="es-MX"/>
        </w:rPr>
        <w:t>Los</w:t>
      </w:r>
      <w:proofErr w:type="gramEnd"/>
      <w:r w:rsidRPr="00771210">
        <w:rPr>
          <w:rFonts w:ascii="Garamond" w:hAnsi="Garamond" w:cs="Garamond"/>
          <w:i/>
          <w:sz w:val="25"/>
          <w:szCs w:val="25"/>
          <w:lang w:val="es-MX"/>
        </w:rPr>
        <w:t xml:space="preserve"> límites de la interpretación</w:t>
      </w:r>
      <w:r>
        <w:rPr>
          <w:rFonts w:ascii="Garamond" w:hAnsi="Garamond" w:cs="Garamond"/>
          <w:i/>
          <w:sz w:val="25"/>
          <w:szCs w:val="25"/>
          <w:lang w:val="es-MX"/>
        </w:rPr>
        <w:t xml:space="preserve"> </w:t>
      </w:r>
      <w:hyperlink r:id="rId6" w:tgtFrame="_blank" w:history="1">
        <w:r w:rsidRPr="00771210">
          <w:rPr>
            <w:rStyle w:val="Hipervnculo"/>
            <w:rFonts w:ascii="Calibri" w:hAnsi="Calibri"/>
          </w:rPr>
          <w:t>http://www.bsolot.info/wp-content/pdf/Eco_Umberto-Los_limites_de_la_interpretacion.pdf</w:t>
        </w:r>
      </w:hyperlink>
      <w:r w:rsidRPr="00771210">
        <w:rPr>
          <w:rFonts w:ascii="Calibri" w:hAnsi="Calibri"/>
          <w:color w:val="000000"/>
        </w:rPr>
        <w:t xml:space="preserve"> </w:t>
      </w:r>
    </w:p>
    <w:p w:rsidR="00B8302F" w:rsidRPr="00D95F20" w:rsidRDefault="00771210" w:rsidP="00D95F20">
      <w:pPr>
        <w:spacing w:before="100" w:beforeAutospacing="1" w:after="100" w:afterAutospacing="1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039D6" w:rsidRDefault="004039D6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b/>
          <w:bCs/>
          <w:sz w:val="25"/>
          <w:szCs w:val="25"/>
          <w:lang w:val="es-MX"/>
        </w:rPr>
        <w:lastRenderedPageBreak/>
        <w:t xml:space="preserve">Regularidad y asistencia a las reuniones: </w:t>
      </w:r>
      <w:r>
        <w:rPr>
          <w:rFonts w:ascii="Garamond" w:hAnsi="Garamond" w:cs="Garamond"/>
          <w:sz w:val="25"/>
          <w:szCs w:val="25"/>
          <w:lang w:val="es-MX"/>
        </w:rPr>
        <w:t>Se deberá asistir a un 80% de las reuniones para la regularidad en el seminario.</w:t>
      </w:r>
    </w:p>
    <w:p w:rsidR="004039D6" w:rsidRDefault="004039D6">
      <w:pPr>
        <w:ind w:left="360"/>
        <w:jc w:val="both"/>
        <w:rPr>
          <w:rFonts w:ascii="Garamond" w:hAnsi="Garamond" w:cs="Garamond"/>
          <w:b/>
          <w:bCs/>
          <w:sz w:val="25"/>
          <w:szCs w:val="25"/>
          <w:lang w:val="es-MX"/>
        </w:rPr>
      </w:pPr>
    </w:p>
    <w:p w:rsidR="004039D6" w:rsidRDefault="004039D6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b/>
          <w:bCs/>
          <w:sz w:val="25"/>
          <w:szCs w:val="25"/>
          <w:lang w:val="es-MX"/>
        </w:rPr>
        <w:t>Evaluación:</w:t>
      </w:r>
      <w:r>
        <w:rPr>
          <w:rFonts w:ascii="Garamond" w:hAnsi="Garamond" w:cs="Garamond"/>
          <w:sz w:val="25"/>
          <w:szCs w:val="25"/>
          <w:lang w:val="es-MX"/>
        </w:rPr>
        <w:t xml:space="preserve"> Se solicitará la presentación de un</w:t>
      </w:r>
      <w:r w:rsidR="00D95F20">
        <w:rPr>
          <w:rFonts w:ascii="Garamond" w:hAnsi="Garamond" w:cs="Garamond"/>
          <w:sz w:val="25"/>
          <w:szCs w:val="25"/>
          <w:lang w:val="es-MX"/>
        </w:rPr>
        <w:t xml:space="preserve"> trabajo final bajo cuya consigna se presentará en el curso de los encuentros</w:t>
      </w:r>
      <w:bookmarkStart w:id="0" w:name="_GoBack"/>
      <w:bookmarkEnd w:id="0"/>
      <w:r w:rsidR="00631B3D">
        <w:rPr>
          <w:rFonts w:ascii="Garamond" w:hAnsi="Garamond" w:cs="Garamond"/>
          <w:sz w:val="25"/>
          <w:szCs w:val="25"/>
          <w:lang w:val="es-MX"/>
        </w:rPr>
        <w:t>, para</w:t>
      </w:r>
      <w:r w:rsidR="00D95F20">
        <w:rPr>
          <w:rFonts w:ascii="Garamond" w:hAnsi="Garamond" w:cs="Garamond"/>
          <w:sz w:val="25"/>
          <w:szCs w:val="25"/>
          <w:lang w:val="es-MX"/>
        </w:rPr>
        <w:t xml:space="preserve"> su</w:t>
      </w:r>
      <w:r>
        <w:rPr>
          <w:rFonts w:ascii="Garamond" w:hAnsi="Garamond" w:cs="Garamond"/>
          <w:sz w:val="25"/>
          <w:szCs w:val="25"/>
          <w:lang w:val="es-MX"/>
        </w:rPr>
        <w:t xml:space="preserve"> correspondiente</w:t>
      </w:r>
      <w:r w:rsidR="00D95F20">
        <w:rPr>
          <w:rFonts w:ascii="Garamond" w:hAnsi="Garamond" w:cs="Garamond"/>
          <w:sz w:val="25"/>
          <w:szCs w:val="25"/>
          <w:lang w:val="es-MX"/>
        </w:rPr>
        <w:t xml:space="preserve"> evaluación y</w:t>
      </w:r>
      <w:r>
        <w:rPr>
          <w:rFonts w:ascii="Garamond" w:hAnsi="Garamond" w:cs="Garamond"/>
          <w:sz w:val="25"/>
          <w:szCs w:val="25"/>
          <w:lang w:val="es-MX"/>
        </w:rPr>
        <w:t xml:space="preserve"> aprobación. </w:t>
      </w:r>
    </w:p>
    <w:p w:rsidR="004039D6" w:rsidRDefault="004039D6">
      <w:pPr>
        <w:ind w:left="360"/>
        <w:jc w:val="both"/>
        <w:rPr>
          <w:rFonts w:ascii="Garamond" w:hAnsi="Garamond" w:cs="Garamond"/>
          <w:b/>
          <w:bCs/>
          <w:sz w:val="25"/>
          <w:szCs w:val="25"/>
          <w:lang w:val="es-MX"/>
        </w:rPr>
      </w:pPr>
    </w:p>
    <w:p w:rsidR="004039D6" w:rsidRDefault="004039D6">
      <w:pPr>
        <w:ind w:left="360"/>
        <w:jc w:val="both"/>
        <w:rPr>
          <w:rFonts w:ascii="Garamond" w:hAnsi="Garamond" w:cs="Garamond"/>
          <w:b/>
          <w:bCs/>
          <w:sz w:val="25"/>
          <w:szCs w:val="25"/>
          <w:lang w:val="es-MX"/>
        </w:rPr>
      </w:pPr>
    </w:p>
    <w:p w:rsidR="004039D6" w:rsidRDefault="004039D6" w:rsidP="00D12B7E">
      <w:pPr>
        <w:ind w:left="360" w:right="500"/>
        <w:rPr>
          <w:rFonts w:cs="Times New Roman"/>
          <w:b/>
          <w:bCs/>
          <w:lang w:val="es-MX"/>
        </w:rPr>
      </w:pPr>
      <w:r>
        <w:rPr>
          <w:rFonts w:ascii="Garamond" w:hAnsi="Garamond" w:cs="Garamond"/>
          <w:b/>
          <w:bCs/>
          <w:sz w:val="25"/>
          <w:szCs w:val="25"/>
          <w:lang w:val="es-MX"/>
        </w:rPr>
        <w:t xml:space="preserve">Cecilia Hidalgo                                                              </w:t>
      </w:r>
    </w:p>
    <w:sectPr w:rsidR="004039D6" w:rsidSect="00BC4A73">
      <w:type w:val="continuous"/>
      <w:pgSz w:w="11905" w:h="16837" w:code="9"/>
      <w:pgMar w:top="2160" w:right="1152" w:bottom="1152" w:left="2160" w:header="2002" w:footer="1699" w:gutter="0"/>
      <w:paperSrc w:first="1" w:other="1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001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6737C2E"/>
    <w:multiLevelType w:val="singleLevel"/>
    <w:tmpl w:val="6A2CB5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2"/>
  </w:compat>
  <w:rsids>
    <w:rsidRoot w:val="004039D6"/>
    <w:rsid w:val="000311A1"/>
    <w:rsid w:val="000B1E9F"/>
    <w:rsid w:val="000D0AEE"/>
    <w:rsid w:val="003F716B"/>
    <w:rsid w:val="004039D6"/>
    <w:rsid w:val="00450A11"/>
    <w:rsid w:val="00543BF7"/>
    <w:rsid w:val="00545D98"/>
    <w:rsid w:val="005C196A"/>
    <w:rsid w:val="00631B3D"/>
    <w:rsid w:val="00636BBD"/>
    <w:rsid w:val="00671D3C"/>
    <w:rsid w:val="006B06B9"/>
    <w:rsid w:val="00771210"/>
    <w:rsid w:val="007F0684"/>
    <w:rsid w:val="00862310"/>
    <w:rsid w:val="008C1F9B"/>
    <w:rsid w:val="00B2551D"/>
    <w:rsid w:val="00B8302F"/>
    <w:rsid w:val="00BC4A73"/>
    <w:rsid w:val="00C01F41"/>
    <w:rsid w:val="00D12B7E"/>
    <w:rsid w:val="00D721F7"/>
    <w:rsid w:val="00D95F20"/>
    <w:rsid w:val="00E13B85"/>
    <w:rsid w:val="00F7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5A2B0238-0272-4D30-9458-C1B01517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73"/>
    <w:pPr>
      <w:autoSpaceDE w:val="0"/>
      <w:autoSpaceDN w:val="0"/>
      <w:spacing w:after="0" w:line="240" w:lineRule="auto"/>
    </w:pPr>
    <w:rPr>
      <w:rFonts w:ascii="Bookman Old Style" w:hAnsi="Bookman Old Style" w:cs="Bookman Old Style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BC4A73"/>
    <w:pPr>
      <w:keepNext/>
      <w:ind w:left="360"/>
      <w:jc w:val="both"/>
      <w:outlineLvl w:val="0"/>
    </w:pPr>
    <w:rPr>
      <w:rFonts w:ascii="Garamond" w:hAnsi="Garamond" w:cs="Garamond"/>
      <w:sz w:val="25"/>
      <w:szCs w:val="25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BC4A73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rsid w:val="00636B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olot.info/wp-content/pdf/Eco_Umberto-Los_limites_de_la_interpretacion.pdf" TargetMode="External"/><Relationship Id="rId5" Type="http://schemas.openxmlformats.org/officeDocument/2006/relationships/hyperlink" Target="mailto:cecil.hidal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MAESTRÍA EN ANÁLISIS DEL DISCURSO</vt:lpstr>
    </vt:vector>
  </TitlesOfParts>
  <Company>Descubrimiento y creatividad en ciencia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 ANÁLISIS DEL DISCURSO</dc:title>
  <dc:creator>Gregorio Klimovsky</dc:creator>
  <cp:lastModifiedBy>Susana</cp:lastModifiedBy>
  <cp:revision>2</cp:revision>
  <cp:lastPrinted>1999-04-09T05:18:00Z</cp:lastPrinted>
  <dcterms:created xsi:type="dcterms:W3CDTF">2017-04-24T00:46:00Z</dcterms:created>
  <dcterms:modified xsi:type="dcterms:W3CDTF">2017-04-24T00:46:00Z</dcterms:modified>
</cp:coreProperties>
</file>