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95F36" w:rsidRDefault="00417818" w14:paraId="56510E91" w14:textId="77777777">
      <w:pPr>
        <w:pStyle w:val="Predeterminado"/>
        <w:spacing w:after="0" w:line="200" w:lineRule="atLeast"/>
        <w:jc w:val="both"/>
      </w:pPr>
      <w:r>
        <w:rPr>
          <w:noProof/>
          <w:lang w:val="en-US" w:eastAsia="en-US" w:bidi="ar-SA"/>
        </w:rPr>
        <w:drawing>
          <wp:inline distT="0" distB="0" distL="0" distR="0" wp14:anchorId="27B8AC93" wp14:editId="72C15525">
            <wp:extent cx="1095375" cy="10287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1095375" cy="1028700"/>
                    </a:xfrm>
                    <a:prstGeom prst="rect">
                      <a:avLst/>
                    </a:prstGeom>
                    <a:noFill/>
                    <a:ln w="9525">
                      <a:noFill/>
                      <a:miter lim="800000"/>
                      <a:headEnd/>
                      <a:tailEnd/>
                    </a:ln>
                  </pic:spPr>
                </pic:pic>
              </a:graphicData>
            </a:graphic>
          </wp:inline>
        </w:drawing>
      </w:r>
    </w:p>
    <w:p w:rsidR="00395F36" w:rsidRDefault="00417818" w14:paraId="7EA8B85F" w14:textId="77777777">
      <w:pPr>
        <w:pStyle w:val="Sinespaciado"/>
        <w:spacing w:after="0" w:line="200" w:lineRule="atLeast"/>
      </w:pPr>
      <w:r>
        <w:rPr>
          <w:sz w:val="24"/>
          <w:szCs w:val="24"/>
        </w:rPr>
        <w:t>Universidad de Buenos Aires</w:t>
      </w:r>
    </w:p>
    <w:p w:rsidR="00395F36" w:rsidRDefault="00417818" w14:paraId="29B623B4" w14:textId="77777777">
      <w:pPr>
        <w:pStyle w:val="Sinespaciado"/>
        <w:spacing w:after="0" w:line="200" w:lineRule="atLeast"/>
      </w:pPr>
      <w:r>
        <w:rPr>
          <w:sz w:val="24"/>
          <w:szCs w:val="24"/>
        </w:rPr>
        <w:t>Facultad de Filosofía y Letras</w:t>
      </w:r>
    </w:p>
    <w:p w:rsidR="00395F36" w:rsidRDefault="00417818" w14:paraId="4B84685D" w14:textId="77777777">
      <w:pPr>
        <w:pStyle w:val="Sinespaciado"/>
        <w:spacing w:after="0" w:line="200" w:lineRule="atLeast"/>
      </w:pPr>
      <w:r>
        <w:rPr>
          <w:sz w:val="24"/>
          <w:szCs w:val="24"/>
        </w:rPr>
        <w:t>Secretaría de Posgrado</w:t>
      </w:r>
      <w:r>
        <w:rPr>
          <w:sz w:val="24"/>
          <w:szCs w:val="24"/>
        </w:rPr>
        <w:br/>
      </w:r>
    </w:p>
    <w:p w:rsidR="00395F36" w:rsidRDefault="00395F36" w14:paraId="31A48590" w14:textId="77777777">
      <w:pPr>
        <w:pStyle w:val="Sinespaciado"/>
        <w:spacing w:after="0" w:line="200" w:lineRule="atLeast"/>
        <w:jc w:val="both"/>
      </w:pPr>
    </w:p>
    <w:p w:rsidR="00395F36" w:rsidRDefault="00417818" w14:paraId="0FA4AD9F" w14:textId="77777777">
      <w:pPr>
        <w:pStyle w:val="Sinespaciado"/>
        <w:spacing w:after="0" w:line="200" w:lineRule="atLeast"/>
        <w:jc w:val="center"/>
      </w:pPr>
      <w:r>
        <w:rPr>
          <w:b/>
          <w:sz w:val="24"/>
          <w:szCs w:val="24"/>
        </w:rPr>
        <w:t>Carrera de Especialización en Educación: Pedagogías para la igualdad en contextos socioeducativos diversos</w:t>
      </w:r>
    </w:p>
    <w:p w:rsidR="00395F36" w:rsidRDefault="00417818" w14:paraId="3BA56B1A" w14:textId="77777777">
      <w:pPr>
        <w:pStyle w:val="Sinespaciado"/>
        <w:spacing w:after="0" w:line="200" w:lineRule="atLeast"/>
        <w:jc w:val="center"/>
      </w:pPr>
      <w:r>
        <w:rPr>
          <w:rFonts w:cs="Arial"/>
          <w:b/>
          <w:color w:val="000000"/>
          <w:sz w:val="24"/>
          <w:szCs w:val="24"/>
          <w:u w:val="single"/>
        </w:rPr>
        <w:t>Seminario de profundización I en el Área: Educación, género y sexualidades</w:t>
      </w:r>
      <w:r>
        <w:rPr>
          <w:b/>
          <w:sz w:val="24"/>
          <w:szCs w:val="24"/>
          <w:u w:val="single"/>
        </w:rPr>
        <w:t xml:space="preserve"> </w:t>
      </w:r>
    </w:p>
    <w:p w:rsidR="00417818" w:rsidRDefault="00417818" w14:paraId="540AA314" w14:textId="77777777">
      <w:pPr>
        <w:pStyle w:val="Sinespaciado"/>
        <w:spacing w:after="0" w:line="200" w:lineRule="atLeast"/>
        <w:jc w:val="both"/>
        <w:rPr>
          <w:b/>
          <w:sz w:val="24"/>
          <w:szCs w:val="24"/>
        </w:rPr>
      </w:pPr>
    </w:p>
    <w:p w:rsidR="00395F36" w:rsidP="1FBAE964" w:rsidRDefault="00417818" w14:paraId="371F1FEA" w14:textId="388E2E1F">
      <w:pPr>
        <w:pStyle w:val="Sinespaciado"/>
        <w:spacing w:after="0" w:line="200" w:lineRule="atLeast"/>
        <w:jc w:val="both"/>
        <w:rPr>
          <w:sz w:val="24"/>
          <w:szCs w:val="24"/>
        </w:rPr>
      </w:pPr>
      <w:r w:rsidRPr="1FBAE964" w:rsidR="00417818">
        <w:rPr>
          <w:b w:val="1"/>
          <w:bCs w:val="1"/>
          <w:sz w:val="24"/>
          <w:szCs w:val="24"/>
        </w:rPr>
        <w:t xml:space="preserve">Año Lectivo: </w:t>
      </w:r>
      <w:r w:rsidRPr="1FBAE964" w:rsidR="00E65725">
        <w:rPr>
          <w:sz w:val="24"/>
          <w:szCs w:val="24"/>
        </w:rPr>
        <w:t>202</w:t>
      </w:r>
      <w:r w:rsidRPr="1FBAE964" w:rsidR="3D431848">
        <w:rPr>
          <w:sz w:val="24"/>
          <w:szCs w:val="24"/>
        </w:rPr>
        <w:t>3</w:t>
      </w:r>
    </w:p>
    <w:p w:rsidR="00395F36" w:rsidRDefault="00395F36" w14:paraId="40183231" w14:textId="77777777">
      <w:pPr>
        <w:pStyle w:val="Sinespaciado"/>
        <w:spacing w:after="0" w:line="200" w:lineRule="atLeast"/>
        <w:jc w:val="both"/>
      </w:pPr>
    </w:p>
    <w:p w:rsidR="00395F36" w:rsidRDefault="00E65725" w14:paraId="7B4A6800" w14:textId="77777777">
      <w:pPr>
        <w:pStyle w:val="Sinespaciado"/>
        <w:spacing w:after="0" w:line="200" w:lineRule="atLeast"/>
        <w:jc w:val="both"/>
      </w:pPr>
      <w:r w:rsidRPr="469897E3" w:rsidR="00E65725">
        <w:rPr>
          <w:b w:val="1"/>
          <w:bCs w:val="1"/>
          <w:sz w:val="24"/>
          <w:szCs w:val="24"/>
        </w:rPr>
        <w:t>Profesora</w:t>
      </w:r>
      <w:r w:rsidRPr="469897E3" w:rsidR="00417818">
        <w:rPr>
          <w:b w:val="1"/>
          <w:bCs w:val="1"/>
          <w:sz w:val="24"/>
          <w:szCs w:val="24"/>
        </w:rPr>
        <w:t>s:</w:t>
      </w:r>
    </w:p>
    <w:p w:rsidR="3BF9189C" w:rsidP="469897E3" w:rsidRDefault="3BF9189C" w14:paraId="46B9CFED" w14:textId="239B0098">
      <w:pPr>
        <w:pStyle w:val="Sinespaciado"/>
        <w:bidi w:val="0"/>
        <w:spacing w:before="0" w:beforeAutospacing="off" w:after="0" w:afterAutospacing="off"/>
        <w:ind w:left="0" w:right="0"/>
        <w:jc w:val="both"/>
      </w:pPr>
      <w:r w:rsidRPr="469897E3" w:rsidR="3BF9189C">
        <w:rPr>
          <w:sz w:val="24"/>
          <w:szCs w:val="24"/>
        </w:rPr>
        <w:t>Diaz Villa, Gabi</w:t>
      </w:r>
    </w:p>
    <w:p w:rsidR="00395F36" w:rsidRDefault="00417818" w14:paraId="2F9CD4AD" w14:textId="77777777">
      <w:pPr>
        <w:pStyle w:val="Sinespaciado"/>
        <w:spacing w:after="0" w:line="200" w:lineRule="atLeast"/>
        <w:jc w:val="both"/>
      </w:pPr>
      <w:r>
        <w:rPr>
          <w:sz w:val="24"/>
          <w:szCs w:val="24"/>
        </w:rPr>
        <w:t>Fainsod, Paula</w:t>
      </w:r>
    </w:p>
    <w:p w:rsidR="00395F36" w:rsidRDefault="00395F36" w14:paraId="2E97B735" w14:textId="77777777">
      <w:pPr>
        <w:pStyle w:val="Sinespaciado"/>
        <w:spacing w:after="0" w:line="200" w:lineRule="atLeast"/>
        <w:jc w:val="both"/>
      </w:pPr>
    </w:p>
    <w:p w:rsidR="00395F36" w:rsidRDefault="00395F36" w14:paraId="0D5C353D" w14:textId="77777777">
      <w:pPr>
        <w:pStyle w:val="Sinespaciado"/>
        <w:spacing w:after="0" w:line="200" w:lineRule="atLeast"/>
        <w:jc w:val="both"/>
      </w:pPr>
    </w:p>
    <w:p w:rsidR="00395F36" w:rsidRDefault="00417818" w14:paraId="2573157E" w14:textId="77777777">
      <w:pPr>
        <w:pStyle w:val="Sinespaciado"/>
        <w:spacing w:after="0" w:line="200" w:lineRule="atLeast"/>
        <w:jc w:val="both"/>
      </w:pPr>
      <w:r>
        <w:rPr>
          <w:b/>
          <w:sz w:val="24"/>
          <w:szCs w:val="24"/>
        </w:rPr>
        <w:t>Fundamentación:</w:t>
      </w:r>
    </w:p>
    <w:p w:rsidR="00395F36" w:rsidRDefault="00417818" w14:paraId="4B0C3C51" w14:textId="77777777">
      <w:pPr>
        <w:pStyle w:val="Sinespaciado"/>
        <w:spacing w:after="0" w:line="200" w:lineRule="atLeast"/>
        <w:jc w:val="both"/>
      </w:pPr>
      <w:r>
        <w:rPr>
          <w:sz w:val="24"/>
          <w:szCs w:val="24"/>
        </w:rPr>
        <w:t xml:space="preserve">La invención de la “píldora”, la explosión “arco iris” y el giro en las últimas leyes sancionadas vinculadas a los derechos sexuales y reproductivos nos ubican en un renovado escenario en el que la sexualidad tiene cabida bajo parámetros más amplios, más democráticos y más justos. A su vez, también advertimos en este contexto la persistencia de las violencias de género, las dificultades para materializar una ley que legalice el aborto o vemos cómo aún perduran condiciones de vida desiguales para los sujetos según las formas de vivir los géneros y las sexualidades. </w:t>
      </w:r>
    </w:p>
    <w:p w:rsidRPr="00417818" w:rsidR="00395F36" w:rsidRDefault="00417818" w14:paraId="2F72DC73" w14:textId="77777777">
      <w:pPr>
        <w:pStyle w:val="Cuerpodetexto"/>
        <w:spacing w:after="0" w:line="200" w:lineRule="atLeast"/>
        <w:jc w:val="both"/>
        <w:rPr>
          <w:lang w:val="es-MX"/>
        </w:rPr>
      </w:pPr>
      <w:r w:rsidRPr="00417818">
        <w:rPr>
          <w:lang w:val="es-MX"/>
        </w:rPr>
        <w:t xml:space="preserve">En una mirada restrospectiva en relación a los debates, legislación y políticas en torno a este campo, todo pareciera indicar que desde la última vuelta a la democracia en Argentina se inició un proceso que puede leerse desde la necesaria actualización en materia de derechos humanos así  cono también, nuevas formas de concebir la política desde una ética del cuidado donde se privilegie el reconocimiento del otro, la otra, lx otrx.  En otras palabras, una etapa donde se revisaron las formas de pensar qué significa la vida humana, y con ello qué condiciones son necesarias para su despliegue, reconociendo las diferencias. </w:t>
      </w:r>
    </w:p>
    <w:p w:rsidRPr="00417818" w:rsidR="00395F36" w:rsidRDefault="00417818" w14:paraId="647FE644" w14:textId="77777777">
      <w:pPr>
        <w:pStyle w:val="Cuerpodetexto"/>
        <w:spacing w:after="0" w:line="200" w:lineRule="atLeast"/>
        <w:jc w:val="both"/>
        <w:rPr>
          <w:lang w:val="es-MX"/>
        </w:rPr>
      </w:pPr>
      <w:r w:rsidRPr="00417818">
        <w:rPr>
          <w:rFonts w:cs="Times New Roman"/>
          <w:lang w:val="es-MX"/>
        </w:rPr>
        <w:t xml:space="preserve">Estos procesos, tensionan y desafían a las instituciones sociales en la búsqueda por formas de nombrar, estrategias, propuestas más cercanas a las diversas experiencias; que las alojen y que las interpelen. Esta búsqueda requiere repensar lo social, las instituciones y repensarse uno/a/x en ellas. Implica desafiar los límites de lo instituido, subvertir no sólo las categorías de pensamiento, sino también animarse a desafiar aquello que señala quién tiene cierto saber, y por ende el poder, desafiar lo institucional. </w:t>
      </w:r>
    </w:p>
    <w:p w:rsidR="00395F36" w:rsidRDefault="00417818" w14:paraId="19B1AB47" w14:textId="77777777">
      <w:pPr>
        <w:pStyle w:val="Predeterminado"/>
        <w:spacing w:after="0" w:line="200" w:lineRule="atLeast"/>
        <w:jc w:val="both"/>
      </w:pPr>
      <w:r>
        <w:rPr>
          <w:rFonts w:ascii="Times New Roman" w:hAnsi="Times New Roman" w:cs="Times New Roman"/>
        </w:rPr>
        <w:t xml:space="preserve">La “pedagogía feminista” genera un aporte sustancial en la consolidación de una metodología que propiciara relaciones más igualitarias en términos de género al tiempo que produzca condiciones más justas de producción de saberes. Esta se preocupó, sobre todo “en desarrollar formas de enseñanza que reflejasen los valores feministas: el dominio sobre los múltiples formas de conocimiento, incluyendo la experiencia como fuente válida, el ejercicio de la propia voz, la discusión de la autoridad y las fuentes de autorización, la centralidad de la posición antes que la esencialización de las relaciones </w:t>
      </w:r>
      <w:r>
        <w:rPr>
          <w:rFonts w:ascii="Times New Roman" w:hAnsi="Times New Roman" w:cs="Times New Roman"/>
        </w:rPr>
        <w:lastRenderedPageBreak/>
        <w:t>de poder; en suma, un contrapunto las prácticas pedagógicas tradicionales, que eran consideradas como expresión de valores masculinos y patriarcales” (Morgade; 2011,35).</w:t>
      </w:r>
    </w:p>
    <w:p w:rsidR="00395F36" w:rsidRDefault="00417818" w14:paraId="50047DD6" w14:textId="77777777">
      <w:pPr>
        <w:pStyle w:val="Predeterminado"/>
        <w:spacing w:after="0" w:line="200" w:lineRule="atLeast"/>
        <w:jc w:val="both"/>
      </w:pPr>
      <w:r>
        <w:rPr>
          <w:rFonts w:ascii="Times New Roman" w:hAnsi="Times New Roman" w:cs="Times New Roman"/>
        </w:rPr>
        <w:t>Atendiendo, este contexto, este seminario se propone brindar a los/as estudiantes herramientas para la apropiación de la perspectiva de género, en tanto óptica desde la cual interpretar, analizar e intervenir en la sociedad en general, y en los procesos pedagógicos en particular. Para ello, este espacio curricular intenta generar aportes para la interpretación y comprensión de los debates y tensiones en torno a la noción de cuerpo sexuado, las intersecciones con la construcción de políticas y la posibilidad de construir una pedagogía feminista.</w:t>
      </w:r>
    </w:p>
    <w:p w:rsidR="00395F36" w:rsidRDefault="00395F36" w14:paraId="575C59AD" w14:textId="77777777">
      <w:pPr>
        <w:pStyle w:val="Sinespaciado"/>
        <w:spacing w:after="0" w:line="200" w:lineRule="atLeast"/>
        <w:jc w:val="both"/>
      </w:pPr>
    </w:p>
    <w:p w:rsidR="00395F36" w:rsidRDefault="00417818" w14:paraId="0CE92103" w14:textId="77777777">
      <w:pPr>
        <w:pStyle w:val="Sinespaciado"/>
        <w:spacing w:after="0" w:line="200" w:lineRule="atLeast"/>
        <w:jc w:val="both"/>
      </w:pPr>
      <w:r>
        <w:rPr>
          <w:b/>
          <w:bCs/>
          <w:sz w:val="24"/>
          <w:szCs w:val="24"/>
        </w:rPr>
        <w:t>Objetivos:</w:t>
      </w:r>
    </w:p>
    <w:p w:rsidR="00395F36" w:rsidRDefault="00417818" w14:paraId="66A4176D" w14:textId="77777777">
      <w:pPr>
        <w:pStyle w:val="Predeterminado"/>
        <w:numPr>
          <w:ilvl w:val="0"/>
          <w:numId w:val="7"/>
        </w:numPr>
        <w:tabs>
          <w:tab w:val="left" w:pos="0"/>
        </w:tabs>
        <w:suppressAutoHyphens w:val="0"/>
        <w:ind w:left="0" w:firstLine="0"/>
        <w:jc w:val="both"/>
      </w:pPr>
      <w:r>
        <w:rPr>
          <w:rFonts w:ascii="Times New Roman" w:hAnsi="Times New Roman" w:cs="Times New Roman"/>
        </w:rPr>
        <w:t>Desarrollar un marco conceptual en torno a las relaciones de género y a la producción de los cuerpos sexuados y sexuales que favorezca la comprensión de las diferentes dimensiones involucradas como construcciones socio-históricas.</w:t>
      </w:r>
    </w:p>
    <w:p w:rsidR="00395F36" w:rsidRDefault="00417818" w14:paraId="4023984C" w14:textId="77777777">
      <w:pPr>
        <w:pStyle w:val="Predeterminado"/>
        <w:numPr>
          <w:ilvl w:val="0"/>
          <w:numId w:val="7"/>
        </w:numPr>
        <w:tabs>
          <w:tab w:val="left" w:pos="0"/>
        </w:tabs>
        <w:suppressAutoHyphens w:val="0"/>
        <w:ind w:left="0" w:firstLine="0"/>
        <w:jc w:val="both"/>
      </w:pPr>
      <w:r>
        <w:rPr>
          <w:rFonts w:ascii="Times New Roman" w:hAnsi="Times New Roman" w:cs="Times New Roman"/>
        </w:rPr>
        <w:t xml:space="preserve">Reflexionar acerca del lugar de las instituciones sociales en la producción de relaciones de género y de los cuerpos sexuados y sexuales. </w:t>
      </w:r>
    </w:p>
    <w:p w:rsidR="00395F36" w:rsidRDefault="00417818" w14:paraId="3096846F" w14:textId="77777777">
      <w:pPr>
        <w:pStyle w:val="Predeterminado"/>
        <w:numPr>
          <w:ilvl w:val="0"/>
          <w:numId w:val="7"/>
        </w:numPr>
        <w:tabs>
          <w:tab w:val="left" w:pos="0"/>
        </w:tabs>
        <w:suppressAutoHyphens w:val="0"/>
        <w:ind w:left="0" w:firstLine="0"/>
        <w:jc w:val="both"/>
      </w:pPr>
      <w:r>
        <w:rPr>
          <w:rFonts w:ascii="Times New Roman" w:hAnsi="Times New Roman" w:eastAsia="Times New Roman" w:cs="Times New Roman"/>
          <w:lang w:val="es-ES" w:eastAsia="es-ES"/>
        </w:rPr>
        <w:t xml:space="preserve">Brindar un panorama comprehensivo y significativo de los principales resultados de la investigación y las experiencias más relevantes en el campo de los Estudios de Género, sexualidades y educación. </w:t>
      </w:r>
    </w:p>
    <w:p w:rsidR="00395F36" w:rsidRDefault="00417818" w14:paraId="19637496" w14:textId="77777777">
      <w:pPr>
        <w:pStyle w:val="Predeterminado"/>
        <w:numPr>
          <w:ilvl w:val="0"/>
          <w:numId w:val="7"/>
        </w:numPr>
        <w:tabs>
          <w:tab w:val="left" w:pos="0"/>
        </w:tabs>
        <w:suppressAutoHyphens w:val="0"/>
        <w:spacing w:after="120"/>
        <w:ind w:left="0" w:firstLine="0"/>
        <w:jc w:val="both"/>
      </w:pPr>
      <w:r>
        <w:rPr>
          <w:rFonts w:ascii="Times New Roman" w:hAnsi="Times New Roman" w:cs="Times New Roman"/>
        </w:rPr>
        <w:t>Brindar enfoques y herramientas de análisis de género que permitan reflexionar sobre las políticas educativas, marcos normativos y proyectos que aborden el vínculo relaciones de género-sexualidades-educación.</w:t>
      </w:r>
    </w:p>
    <w:p w:rsidR="00395F36" w:rsidRDefault="00417818" w14:paraId="177C654D" w14:textId="77777777">
      <w:pPr>
        <w:pStyle w:val="Predeterminado"/>
        <w:numPr>
          <w:ilvl w:val="0"/>
          <w:numId w:val="7"/>
        </w:numPr>
        <w:tabs>
          <w:tab w:val="left" w:pos="0"/>
        </w:tabs>
        <w:suppressAutoHyphens w:val="0"/>
        <w:spacing w:after="120"/>
        <w:ind w:left="0" w:firstLine="0"/>
        <w:jc w:val="both"/>
      </w:pPr>
      <w:r>
        <w:rPr>
          <w:rFonts w:ascii="Times New Roman" w:hAnsi="Times New Roman" w:cs="Times New Roman"/>
        </w:rPr>
        <w:t xml:space="preserve">Propiciar la discusión entre los y las participantes del curso que habilite a la interrogación de los propios sentidos, saberes, experiencias y prácticas referidas a las relaciones de género, las sexualidades y el lugar de las instituciones sociales. </w:t>
      </w:r>
    </w:p>
    <w:p w:rsidR="00395F36" w:rsidRDefault="00417818" w14:paraId="1A470767" w14:textId="77777777">
      <w:pPr>
        <w:pStyle w:val="Predeterminado"/>
        <w:numPr>
          <w:ilvl w:val="0"/>
          <w:numId w:val="7"/>
        </w:numPr>
        <w:tabs>
          <w:tab w:val="left" w:pos="0"/>
        </w:tabs>
        <w:suppressAutoHyphens w:val="0"/>
        <w:spacing w:after="120"/>
        <w:ind w:left="0" w:firstLine="0"/>
        <w:jc w:val="both"/>
      </w:pPr>
      <w:bookmarkStart w:name="__DdeLink__160_67027984" w:id="0"/>
      <w:bookmarkEnd w:id="0"/>
      <w:r>
        <w:rPr>
          <w:rFonts w:ascii="Times New Roman" w:hAnsi="Times New Roman" w:cs="Times New Roman"/>
        </w:rPr>
        <w:t>Aportar herramientas conceptuales que favorezcan, desde la perspectiva de género, la construcción de alternativas pedagógicas a partir del reconocimiento del poder y potencial propio/institucional/comunitario en la transformación de las prácticas sociales y educativas.</w:t>
      </w:r>
    </w:p>
    <w:p w:rsidR="00395F36" w:rsidRDefault="00395F36" w14:paraId="31F3B863" w14:textId="77777777">
      <w:pPr>
        <w:pStyle w:val="Sinespaciado"/>
        <w:spacing w:after="0" w:line="200" w:lineRule="atLeast"/>
        <w:jc w:val="both"/>
      </w:pPr>
    </w:p>
    <w:p w:rsidR="00395F36" w:rsidRDefault="00417818" w14:paraId="6DF569C1" w14:textId="77777777">
      <w:pPr>
        <w:pStyle w:val="Sinespaciado"/>
        <w:spacing w:after="0" w:line="200" w:lineRule="atLeast"/>
        <w:jc w:val="both"/>
      </w:pPr>
      <w:r>
        <w:rPr>
          <w:b/>
          <w:bCs/>
          <w:sz w:val="24"/>
          <w:szCs w:val="24"/>
        </w:rPr>
        <w:t>Contenidos:</w:t>
      </w:r>
    </w:p>
    <w:p w:rsidR="00395F36" w:rsidRDefault="00417818" w14:paraId="7AE70F5D" w14:textId="77777777">
      <w:pPr>
        <w:pStyle w:val="Sinespaciado"/>
        <w:spacing w:after="0" w:line="200" w:lineRule="atLeast"/>
        <w:jc w:val="both"/>
      </w:pPr>
      <w:r>
        <w:rPr>
          <w:b/>
          <w:sz w:val="24"/>
          <w:szCs w:val="24"/>
        </w:rPr>
        <w:t>Eje temático I: Debates en torno al género y las sexualidades: la perspectiva de género como herramienta de interpretación, análisis e intervención</w:t>
      </w:r>
    </w:p>
    <w:p w:rsidR="00395F36" w:rsidRDefault="00417818" w14:paraId="0D45658A" w14:textId="77777777">
      <w:pPr>
        <w:pStyle w:val="Sinespaciado"/>
        <w:spacing w:after="0" w:line="200" w:lineRule="atLeast"/>
        <w:jc w:val="both"/>
      </w:pPr>
      <w:r>
        <w:rPr>
          <w:sz w:val="24"/>
          <w:szCs w:val="24"/>
        </w:rPr>
        <w:t xml:space="preserve">Sexualidades y géneros en contextos actuales. La construcción social del cuerpo: antecedentes teóricos y políticos del constructo “cuerpo sexuado”. Femineidades y masculinidades en la sociedad capitalista. </w:t>
      </w:r>
    </w:p>
    <w:p w:rsidR="00395F36" w:rsidRDefault="00417818" w14:paraId="3A551143" w14:textId="77777777">
      <w:pPr>
        <w:pStyle w:val="Sinespaciado"/>
        <w:spacing w:after="0" w:line="200" w:lineRule="atLeast"/>
        <w:jc w:val="both"/>
      </w:pPr>
      <w:r>
        <w:rPr>
          <w:sz w:val="24"/>
          <w:szCs w:val="24"/>
        </w:rPr>
        <w:t xml:space="preserve">El movimiento feminista: El feminismo de la igualdad y el feminismo de la diferencia como ópticas de análisis. Los aportes de los Estudios de la Masculinidad a la teoría de género. Teoría queer/trans: explosión de las identidades. La crítica a la colonialidad. Feminismo decolonial. </w:t>
      </w:r>
      <w:r>
        <w:rPr>
          <w:rFonts w:cs="Tahoma"/>
          <w:color w:val="000000"/>
          <w:sz w:val="24"/>
          <w:szCs w:val="24"/>
          <w:lang w:val="es-ES"/>
        </w:rPr>
        <w:t>La interseccionalidad de clase/etnia/etnia/orientación sexual como esquema conceptual para leer las experiencias sociales.</w:t>
      </w:r>
    </w:p>
    <w:p w:rsidR="00395F36" w:rsidRDefault="00395F36" w14:paraId="6C83FEAB" w14:textId="77777777">
      <w:pPr>
        <w:pStyle w:val="Sinespaciado"/>
        <w:spacing w:after="0" w:line="200" w:lineRule="atLeast"/>
        <w:jc w:val="both"/>
      </w:pPr>
    </w:p>
    <w:p w:rsidR="00395F36" w:rsidRDefault="00417818" w14:paraId="1ECDE354" w14:textId="77777777">
      <w:pPr>
        <w:pStyle w:val="Sinespaciado"/>
        <w:spacing w:after="0" w:line="200" w:lineRule="atLeast"/>
        <w:jc w:val="both"/>
      </w:pPr>
      <w:r>
        <w:rPr>
          <w:b/>
          <w:sz w:val="24"/>
          <w:szCs w:val="24"/>
        </w:rPr>
        <w:t>Eje temático II: Feminismos y agenda pública: la construcción de leyes y políticas</w:t>
      </w:r>
    </w:p>
    <w:p w:rsidR="00395F36" w:rsidRDefault="00417818" w14:paraId="5B96D512" w14:textId="77777777">
      <w:pPr>
        <w:pStyle w:val="Sinespaciado"/>
        <w:spacing w:after="0" w:line="200" w:lineRule="atLeast"/>
        <w:jc w:val="both"/>
      </w:pPr>
      <w:r>
        <w:rPr>
          <w:sz w:val="24"/>
          <w:szCs w:val="24"/>
        </w:rPr>
        <w:t xml:space="preserve">Teoría de género y ciudadanía: igualdad, diferencia y el concepto de “esferas públicas” como discusión de la teoría política moderna.  Movimiento feminista: luchas y conquistas en la agenda pública. Ciudadanía sexual. Derechos sexuales y reproductivos bajo la lupa del género. </w:t>
      </w:r>
    </w:p>
    <w:p w:rsidR="00395F36" w:rsidRDefault="00395F36" w14:paraId="4478FF49" w14:textId="77777777">
      <w:pPr>
        <w:pStyle w:val="Predeterminado"/>
        <w:spacing w:after="0" w:line="200" w:lineRule="atLeast"/>
        <w:jc w:val="both"/>
      </w:pPr>
    </w:p>
    <w:p w:rsidR="00395F36" w:rsidRDefault="00417818" w14:paraId="70E67500" w14:textId="77777777">
      <w:pPr>
        <w:pStyle w:val="Sinespaciado"/>
        <w:spacing w:after="0" w:line="200" w:lineRule="atLeast"/>
        <w:jc w:val="both"/>
      </w:pPr>
      <w:r>
        <w:rPr>
          <w:b/>
          <w:sz w:val="24"/>
          <w:szCs w:val="24"/>
        </w:rPr>
        <w:t>Eje temático III: Pedagogías feministas</w:t>
      </w:r>
    </w:p>
    <w:p w:rsidR="00395F36" w:rsidRDefault="00417818" w14:paraId="542366E7" w14:textId="77777777">
      <w:pPr>
        <w:pStyle w:val="Sinespaciado"/>
        <w:spacing w:after="0" w:line="200" w:lineRule="atLeast"/>
        <w:jc w:val="both"/>
      </w:pPr>
      <w:r>
        <w:rPr>
          <w:sz w:val="24"/>
          <w:szCs w:val="24"/>
        </w:rPr>
        <w:t>De la revolución del “Rosa y Azul” a los debates contemporáneos en torno a la pedagogía, el género y las sexualidades. Crítica feminista a las pedagogías. Feminismo y pedagogía crítica. Confianza, cuidado y autoridad: Hacia una pedagogía feminista. Pluralidad de propuestas: posición docente, experiencia y estudiantado.</w:t>
      </w:r>
    </w:p>
    <w:p w:rsidR="00395F36" w:rsidRDefault="00395F36" w14:paraId="6D2F86F4" w14:textId="77777777">
      <w:pPr>
        <w:pStyle w:val="Sinespaciado"/>
        <w:spacing w:after="0" w:line="200" w:lineRule="atLeast"/>
        <w:jc w:val="both"/>
      </w:pPr>
    </w:p>
    <w:p w:rsidR="00395F36" w:rsidRDefault="00417818" w14:paraId="53593314" w14:textId="77777777">
      <w:pPr>
        <w:pStyle w:val="Predeterminado"/>
        <w:spacing w:after="0" w:line="200" w:lineRule="atLeast"/>
        <w:jc w:val="both"/>
      </w:pPr>
      <w:r>
        <w:rPr>
          <w:rFonts w:ascii="Times New Roman" w:hAnsi="Times New Roman"/>
          <w:b/>
          <w:bCs/>
        </w:rPr>
        <w:t>Metodología</w:t>
      </w:r>
    </w:p>
    <w:p w:rsidR="00E65725" w:rsidRDefault="00417818" w14:paraId="20096A99" w14:textId="77777777">
      <w:pPr>
        <w:pStyle w:val="Predeterminado"/>
        <w:spacing w:after="0" w:line="200" w:lineRule="atLeast"/>
        <w:jc w:val="both"/>
        <w:rPr>
          <w:rFonts w:ascii="Times New Roman" w:hAnsi="Times New Roman" w:cs="Century Gothic"/>
          <w:lang w:val="es-ES"/>
        </w:rPr>
      </w:pPr>
      <w:bookmarkStart w:name="__DdeLink__1011_281953819" w:id="1"/>
      <w:r>
        <w:rPr>
          <w:rFonts w:ascii="Times New Roman" w:hAnsi="Times New Roman" w:cs="Century Gothic"/>
          <w:lang w:val="es-ES"/>
        </w:rPr>
        <w:t xml:space="preserve">Al tratarse de un seminario, la metodología tenderá a profundizar en un campo de problemas acercándose a una serie de lecturas que a modo de caja de herramientas aporten categorías para la construcción de una mirada crítica para leer los procesos que en el tienen lugar.  Al tomar los aportes de la pedagogía crítica y el feminismo, se podría mencionar que las orientaciones didáctico-pedagógicas deberían “propiciar el dominio sobre los múltiples formas de conocimiento, incluyendo la experiencia como fuente válida, el ejercicio de la propia voz, la discusión de la autoridad y las fuentes de autorización, la centralidad de la posición antes que la esencialización de las relaciones de poder” (Morgade; 2011; 35). </w:t>
      </w:r>
    </w:p>
    <w:p w:rsidR="00E65725" w:rsidRDefault="00417818" w14:paraId="244B2B60" w14:textId="77777777">
      <w:pPr>
        <w:pStyle w:val="Predeterminado"/>
        <w:spacing w:after="0" w:line="200" w:lineRule="atLeast"/>
        <w:jc w:val="both"/>
        <w:rPr>
          <w:rFonts w:ascii="Times New Roman" w:hAnsi="Times New Roman" w:cs="Century Gothic"/>
          <w:lang w:val="es-ES"/>
        </w:rPr>
      </w:pPr>
      <w:r>
        <w:rPr>
          <w:rFonts w:ascii="Times New Roman" w:hAnsi="Times New Roman" w:cs="Century Gothic"/>
          <w:lang w:val="es-ES"/>
        </w:rPr>
        <w:t>De este modo, se propone que el espacio del seminario debiera generar dinámicas que permitan acompañar el proceso de lectura crítica , transferir las herramientas conceptuales al análisis de la coyuntura, potenciar la producción de nuevos sentidos y la autonomía en la construcción de argumentaciones que tensionen el status quo y desafíen los marcos instituidos.</w:t>
      </w:r>
    </w:p>
    <w:p w:rsidR="00395F36" w:rsidRDefault="00417818" w14:paraId="72CBD9C3" w14:textId="77777777">
      <w:pPr>
        <w:pStyle w:val="Predeterminado"/>
        <w:spacing w:after="0" w:line="200" w:lineRule="atLeast"/>
        <w:jc w:val="both"/>
        <w:rPr>
          <w:rFonts w:ascii="Times New Roman" w:hAnsi="Times New Roman" w:cs="Times New Roman"/>
        </w:rPr>
      </w:pPr>
      <w:r>
        <w:rPr>
          <w:rFonts w:ascii="Times New Roman" w:hAnsi="Times New Roman" w:cs="Century Gothic"/>
          <w:lang w:val="es-ES"/>
        </w:rPr>
        <w:t>Como</w:t>
      </w:r>
      <w:r>
        <w:rPr>
          <w:rFonts w:ascii="Times New Roman" w:hAnsi="Times New Roman" w:eastAsia="Century Gothic" w:cs="Century Gothic"/>
          <w:lang w:val="es-ES"/>
        </w:rPr>
        <w:t xml:space="preserve"> </w:t>
      </w:r>
      <w:r>
        <w:rPr>
          <w:rFonts w:ascii="Times New Roman" w:hAnsi="Times New Roman" w:cs="Century Gothic"/>
          <w:lang w:val="es-ES"/>
        </w:rPr>
        <w:t>parte</w:t>
      </w:r>
      <w:r>
        <w:rPr>
          <w:rFonts w:ascii="Times New Roman" w:hAnsi="Times New Roman" w:eastAsia="Century Gothic" w:cs="Century Gothic"/>
          <w:lang w:val="es-ES"/>
        </w:rPr>
        <w:t xml:space="preserve"> </w:t>
      </w:r>
      <w:r>
        <w:rPr>
          <w:rFonts w:ascii="Times New Roman" w:hAnsi="Times New Roman" w:cs="Century Gothic"/>
          <w:lang w:val="es-ES"/>
        </w:rPr>
        <w:t>de</w:t>
      </w:r>
      <w:r>
        <w:rPr>
          <w:rFonts w:ascii="Times New Roman" w:hAnsi="Times New Roman" w:eastAsia="Century Gothic" w:cs="Century Gothic"/>
          <w:lang w:val="es-ES"/>
        </w:rPr>
        <w:t xml:space="preserve"> </w:t>
      </w:r>
      <w:r>
        <w:rPr>
          <w:rFonts w:ascii="Times New Roman" w:hAnsi="Times New Roman" w:cs="Century Gothic"/>
          <w:lang w:val="es-ES"/>
        </w:rPr>
        <w:t>la</w:t>
      </w:r>
      <w:r>
        <w:rPr>
          <w:rFonts w:ascii="Times New Roman" w:hAnsi="Times New Roman" w:eastAsia="Century Gothic" w:cs="Century Gothic"/>
          <w:lang w:val="es-ES"/>
        </w:rPr>
        <w:t xml:space="preserve"> </w:t>
      </w:r>
      <w:r>
        <w:rPr>
          <w:rFonts w:ascii="Times New Roman" w:hAnsi="Times New Roman" w:cs="Century Gothic"/>
          <w:lang w:val="es-ES"/>
        </w:rPr>
        <w:t>estrategia</w:t>
      </w:r>
      <w:r>
        <w:rPr>
          <w:rFonts w:ascii="Times New Roman" w:hAnsi="Times New Roman" w:eastAsia="Century Gothic" w:cs="Century Gothic"/>
          <w:lang w:val="es-ES"/>
        </w:rPr>
        <w:t xml:space="preserve"> </w:t>
      </w:r>
      <w:r>
        <w:rPr>
          <w:rFonts w:ascii="Times New Roman" w:hAnsi="Times New Roman" w:cs="Century Gothic"/>
          <w:lang w:val="es-ES"/>
        </w:rPr>
        <w:t>pedagógica</w:t>
      </w:r>
      <w:r>
        <w:rPr>
          <w:rFonts w:ascii="Times New Roman" w:hAnsi="Times New Roman" w:eastAsia="Century Gothic" w:cs="Century Gothic"/>
          <w:lang w:val="es-ES"/>
        </w:rPr>
        <w:t xml:space="preserve"> </w:t>
      </w:r>
      <w:r>
        <w:rPr>
          <w:rFonts w:ascii="Times New Roman" w:hAnsi="Times New Roman" w:cs="Century Gothic"/>
          <w:lang w:val="es-ES"/>
        </w:rPr>
        <w:t>se</w:t>
      </w:r>
      <w:r>
        <w:rPr>
          <w:rFonts w:ascii="Times New Roman" w:hAnsi="Times New Roman" w:eastAsia="Century Gothic" w:cs="Century Gothic"/>
          <w:lang w:val="es-ES"/>
        </w:rPr>
        <w:t xml:space="preserve"> </w:t>
      </w:r>
      <w:r>
        <w:rPr>
          <w:rFonts w:ascii="Times New Roman" w:hAnsi="Times New Roman" w:cs="Century Gothic"/>
          <w:lang w:val="es-ES"/>
        </w:rPr>
        <w:t>acompañará</w:t>
      </w:r>
      <w:r>
        <w:rPr>
          <w:rFonts w:ascii="Times New Roman" w:hAnsi="Times New Roman" w:eastAsia="Century Gothic" w:cs="Century Gothic"/>
          <w:lang w:val="es-ES"/>
        </w:rPr>
        <w:t xml:space="preserve"> </w:t>
      </w:r>
      <w:r>
        <w:rPr>
          <w:rFonts w:ascii="Times New Roman" w:hAnsi="Times New Roman" w:cs="Century Gothic"/>
          <w:lang w:val="es-ES"/>
        </w:rPr>
        <w:t>la</w:t>
      </w:r>
      <w:r>
        <w:rPr>
          <w:rFonts w:ascii="Times New Roman" w:hAnsi="Times New Roman" w:eastAsia="Century Gothic" w:cs="Century Gothic"/>
          <w:lang w:val="es-ES"/>
        </w:rPr>
        <w:t xml:space="preserve"> </w:t>
      </w:r>
      <w:r>
        <w:rPr>
          <w:rFonts w:ascii="Times New Roman" w:hAnsi="Times New Roman" w:cs="Century Gothic"/>
          <w:lang w:val="es-ES"/>
        </w:rPr>
        <w:t>lectura</w:t>
      </w:r>
      <w:r>
        <w:rPr>
          <w:rFonts w:ascii="Times New Roman" w:hAnsi="Times New Roman" w:eastAsia="Century Gothic" w:cs="Century Gothic"/>
          <w:lang w:val="es-ES"/>
        </w:rPr>
        <w:t xml:space="preserve"> </w:t>
      </w:r>
      <w:r>
        <w:rPr>
          <w:rFonts w:ascii="Times New Roman" w:hAnsi="Times New Roman" w:cs="Century Gothic"/>
          <w:lang w:val="es-ES"/>
        </w:rPr>
        <w:t>y</w:t>
      </w:r>
      <w:r>
        <w:rPr>
          <w:rFonts w:ascii="Times New Roman" w:hAnsi="Times New Roman" w:eastAsia="Century Gothic" w:cs="Century Gothic"/>
          <w:lang w:val="es-ES"/>
        </w:rPr>
        <w:t xml:space="preserve"> </w:t>
      </w:r>
      <w:r>
        <w:rPr>
          <w:rFonts w:ascii="Times New Roman" w:hAnsi="Times New Roman" w:cs="Century Gothic"/>
          <w:lang w:val="es-ES"/>
        </w:rPr>
        <w:t>discusión</w:t>
      </w:r>
      <w:r>
        <w:rPr>
          <w:rFonts w:ascii="Times New Roman" w:hAnsi="Times New Roman" w:eastAsia="Century Gothic" w:cs="Century Gothic"/>
          <w:lang w:val="es-ES"/>
        </w:rPr>
        <w:t xml:space="preserve"> </w:t>
      </w:r>
      <w:r>
        <w:rPr>
          <w:rFonts w:ascii="Times New Roman" w:hAnsi="Times New Roman" w:cs="Century Gothic"/>
          <w:lang w:val="es-ES"/>
        </w:rPr>
        <w:t>de</w:t>
      </w:r>
      <w:r>
        <w:rPr>
          <w:rFonts w:ascii="Times New Roman" w:hAnsi="Times New Roman" w:eastAsia="Century Gothic" w:cs="Century Gothic"/>
          <w:lang w:val="es-ES"/>
        </w:rPr>
        <w:t xml:space="preserve"> </w:t>
      </w:r>
      <w:r>
        <w:rPr>
          <w:rFonts w:ascii="Times New Roman" w:hAnsi="Times New Roman" w:cs="Century Gothic"/>
          <w:lang w:val="es-ES"/>
        </w:rPr>
        <w:t>los</w:t>
      </w:r>
      <w:r>
        <w:rPr>
          <w:rFonts w:ascii="Times New Roman" w:hAnsi="Times New Roman" w:eastAsia="Century Gothic" w:cs="Century Gothic"/>
          <w:lang w:val="es-ES"/>
        </w:rPr>
        <w:t xml:space="preserve"> </w:t>
      </w:r>
      <w:r>
        <w:rPr>
          <w:rFonts w:ascii="Times New Roman" w:hAnsi="Times New Roman" w:cs="Century Gothic"/>
          <w:lang w:val="es-ES"/>
        </w:rPr>
        <w:t>materiales</w:t>
      </w:r>
      <w:r>
        <w:rPr>
          <w:rFonts w:ascii="Times New Roman" w:hAnsi="Times New Roman" w:eastAsia="Century Gothic" w:cs="Century Gothic"/>
          <w:lang w:val="es-ES"/>
        </w:rPr>
        <w:t xml:space="preserve"> </w:t>
      </w:r>
      <w:r>
        <w:rPr>
          <w:rFonts w:ascii="Times New Roman" w:hAnsi="Times New Roman" w:cs="Century Gothic"/>
          <w:lang w:val="es-ES"/>
        </w:rPr>
        <w:t>bibliográficos</w:t>
      </w:r>
      <w:r>
        <w:rPr>
          <w:rFonts w:ascii="Times New Roman" w:hAnsi="Times New Roman" w:eastAsia="Century Gothic" w:cs="Century Gothic"/>
          <w:lang w:val="es-ES"/>
        </w:rPr>
        <w:t xml:space="preserve"> </w:t>
      </w:r>
      <w:r>
        <w:rPr>
          <w:rFonts w:ascii="Times New Roman" w:hAnsi="Times New Roman" w:cs="Century Gothic"/>
          <w:lang w:val="es-ES"/>
        </w:rPr>
        <w:t>con</w:t>
      </w:r>
      <w:r>
        <w:rPr>
          <w:rFonts w:ascii="Times New Roman" w:hAnsi="Times New Roman" w:eastAsia="Century Gothic" w:cs="Century Gothic"/>
          <w:lang w:val="es-ES"/>
        </w:rPr>
        <w:t xml:space="preserve"> </w:t>
      </w:r>
      <w:r>
        <w:rPr>
          <w:rFonts w:ascii="Times New Roman" w:hAnsi="Times New Roman" w:cs="Century Gothic"/>
          <w:lang w:val="es-ES"/>
        </w:rPr>
        <w:t>materiales</w:t>
      </w:r>
      <w:r>
        <w:rPr>
          <w:rFonts w:ascii="Times New Roman" w:hAnsi="Times New Roman" w:eastAsia="Century Gothic" w:cs="Century Gothic"/>
          <w:lang w:val="es-ES"/>
        </w:rPr>
        <w:t xml:space="preserve"> </w:t>
      </w:r>
      <w:r>
        <w:rPr>
          <w:rFonts w:ascii="Times New Roman" w:hAnsi="Times New Roman" w:cs="Century Gothic"/>
          <w:lang w:val="es-ES"/>
        </w:rPr>
        <w:t>literarios,</w:t>
      </w:r>
      <w:r>
        <w:rPr>
          <w:rFonts w:ascii="Times New Roman" w:hAnsi="Times New Roman" w:eastAsia="Century Gothic" w:cs="Century Gothic"/>
          <w:lang w:val="es-ES"/>
        </w:rPr>
        <w:t xml:space="preserve"> </w:t>
      </w:r>
      <w:r>
        <w:rPr>
          <w:rFonts w:ascii="Times New Roman" w:hAnsi="Times New Roman" w:cs="Century Gothic"/>
          <w:lang w:val="es-ES"/>
        </w:rPr>
        <w:t>cinematográficos,</w:t>
      </w:r>
      <w:r>
        <w:rPr>
          <w:rFonts w:ascii="Times New Roman" w:hAnsi="Times New Roman" w:eastAsia="Century Gothic" w:cs="Century Gothic"/>
          <w:lang w:val="es-ES"/>
        </w:rPr>
        <w:t xml:space="preserve"> </w:t>
      </w:r>
      <w:r>
        <w:rPr>
          <w:rFonts w:ascii="Times New Roman" w:hAnsi="Times New Roman" w:cs="Century Gothic"/>
          <w:lang w:val="es-ES"/>
        </w:rPr>
        <w:t>campañas</w:t>
      </w:r>
      <w:r>
        <w:rPr>
          <w:rFonts w:ascii="Times New Roman" w:hAnsi="Times New Roman" w:eastAsia="Century Gothic" w:cs="Century Gothic"/>
          <w:lang w:val="es-ES"/>
        </w:rPr>
        <w:t xml:space="preserve"> </w:t>
      </w:r>
      <w:r>
        <w:rPr>
          <w:rFonts w:ascii="Times New Roman" w:hAnsi="Times New Roman" w:cs="Century Gothic"/>
          <w:lang w:val="es-ES"/>
        </w:rPr>
        <w:t>publicitarias,</w:t>
      </w:r>
      <w:r>
        <w:rPr>
          <w:rFonts w:ascii="Times New Roman" w:hAnsi="Times New Roman" w:eastAsia="Century Gothic" w:cs="Century Gothic"/>
          <w:lang w:val="es-ES"/>
        </w:rPr>
        <w:t xml:space="preserve"> </w:t>
      </w:r>
      <w:r>
        <w:rPr>
          <w:rFonts w:ascii="Times New Roman" w:hAnsi="Times New Roman" w:cs="Century Gothic"/>
          <w:lang w:val="es-ES"/>
        </w:rPr>
        <w:t>programas</w:t>
      </w:r>
      <w:r>
        <w:rPr>
          <w:rFonts w:ascii="Times New Roman" w:hAnsi="Times New Roman" w:eastAsia="Century Gothic" w:cs="Century Gothic"/>
          <w:lang w:val="es-ES"/>
        </w:rPr>
        <w:t xml:space="preserve"> </w:t>
      </w:r>
      <w:r>
        <w:rPr>
          <w:rFonts w:ascii="Times New Roman" w:hAnsi="Times New Roman" w:cs="Century Gothic"/>
          <w:lang w:val="es-ES"/>
        </w:rPr>
        <w:t>y</w:t>
      </w:r>
      <w:r>
        <w:rPr>
          <w:rFonts w:ascii="Times New Roman" w:hAnsi="Times New Roman" w:eastAsia="Century Gothic" w:cs="Century Gothic"/>
          <w:lang w:val="es-ES"/>
        </w:rPr>
        <w:t xml:space="preserve"> </w:t>
      </w:r>
      <w:r>
        <w:rPr>
          <w:rFonts w:ascii="Times New Roman" w:hAnsi="Times New Roman" w:cs="Century Gothic"/>
          <w:lang w:val="es-ES"/>
        </w:rPr>
        <w:t>materiales</w:t>
      </w:r>
      <w:r>
        <w:rPr>
          <w:rFonts w:ascii="Times New Roman" w:hAnsi="Times New Roman" w:eastAsia="Century Gothic" w:cs="Century Gothic"/>
          <w:lang w:val="es-ES"/>
        </w:rPr>
        <w:t xml:space="preserve"> </w:t>
      </w:r>
      <w:r>
        <w:rPr>
          <w:rFonts w:ascii="Times New Roman" w:hAnsi="Times New Roman" w:cs="Century Gothic"/>
          <w:lang w:val="es-ES"/>
        </w:rPr>
        <w:t>educativos.</w:t>
      </w:r>
      <w:r>
        <w:rPr>
          <w:rFonts w:ascii="Times New Roman" w:hAnsi="Times New Roman" w:eastAsia="Century Gothic" w:cs="Century Gothic"/>
          <w:lang w:val="es-ES"/>
        </w:rPr>
        <w:t xml:space="preserve"> </w:t>
      </w:r>
      <w:bookmarkEnd w:id="1"/>
      <w:r w:rsidR="00E65725">
        <w:rPr>
          <w:rFonts w:ascii="Times New Roman" w:hAnsi="Times New Roman" w:eastAsia="Century Gothic" w:cs="Century Gothic"/>
          <w:lang w:val="es-ES"/>
        </w:rPr>
        <w:t>Está prevista también la participación de invitadxs que sumen voces a las temáticas abordadas.</w:t>
      </w:r>
    </w:p>
    <w:p w:rsidR="00E65725" w:rsidRDefault="00E65725" w14:paraId="116E1085" w14:textId="77777777">
      <w:pPr>
        <w:pStyle w:val="Predeterminado"/>
        <w:spacing w:after="0" w:line="200" w:lineRule="atLeast"/>
        <w:jc w:val="both"/>
      </w:pPr>
      <w:r>
        <w:rPr>
          <w:rFonts w:ascii="Times New Roman" w:hAnsi="Times New Roman" w:cs="Times New Roman"/>
        </w:rPr>
        <w:t xml:space="preserve">Al tratarse de una cursada virtual, se generarán estrategias que combinen instancias sincrónicas y asincrónicas, todas ellas dirigidas al intercambio de saberes y experiencias que estimulen la construcción colectiva de nuevos conocimientos en relación a este campo. Se generarán instancias de producción individual y grupal. </w:t>
      </w:r>
    </w:p>
    <w:p w:rsidR="00395F36" w:rsidRDefault="00395F36" w14:paraId="467C6966" w14:textId="77777777">
      <w:pPr>
        <w:pStyle w:val="Predeterminado"/>
        <w:spacing w:after="0" w:line="200" w:lineRule="atLeast"/>
        <w:jc w:val="both"/>
      </w:pPr>
    </w:p>
    <w:p w:rsidR="00395F36" w:rsidRDefault="00417818" w14:paraId="2DE458E7" w14:textId="77777777">
      <w:pPr>
        <w:pStyle w:val="Predeterminado"/>
        <w:spacing w:after="0" w:line="200" w:lineRule="atLeast"/>
        <w:jc w:val="both"/>
      </w:pPr>
      <w:r>
        <w:rPr>
          <w:rFonts w:ascii="Times New Roman" w:hAnsi="Times New Roman" w:eastAsia="Times New Roman" w:cs="Times New Roman"/>
          <w:b/>
          <w:bCs/>
          <w:lang w:eastAsia="es-MX"/>
        </w:rPr>
        <w:t>Bibliografia</w:t>
      </w:r>
    </w:p>
    <w:p w:rsidR="00395F36" w:rsidRDefault="00417818" w14:paraId="2C337082" w14:textId="77777777">
      <w:pPr>
        <w:pStyle w:val="Predeterminado"/>
        <w:spacing w:after="0" w:line="200" w:lineRule="atLeast"/>
        <w:jc w:val="both"/>
      </w:pPr>
      <w:r>
        <w:rPr>
          <w:rFonts w:ascii="Times New Roman" w:hAnsi="Times New Roman"/>
          <w:b/>
        </w:rPr>
        <w:t>Eje temático I: Debates en torno al género y las sexualidades: la perspectiva de género como herramienta de interpretación, análisis e intervención</w:t>
      </w:r>
    </w:p>
    <w:p w:rsidR="00395F36" w:rsidRDefault="00417818" w14:paraId="4C6FF5DB" w14:textId="77777777">
      <w:pPr>
        <w:pStyle w:val="Sinespaciado"/>
        <w:numPr>
          <w:ilvl w:val="0"/>
          <w:numId w:val="4"/>
        </w:numPr>
        <w:spacing w:after="0" w:line="200" w:lineRule="atLeast"/>
        <w:jc w:val="both"/>
      </w:pPr>
      <w:r>
        <w:rPr>
          <w:sz w:val="24"/>
          <w:szCs w:val="24"/>
        </w:rPr>
        <w:t xml:space="preserve">Bellucci, Mabel y Rapisardi, Flavio “Identidad: diversidad y desigualdad en las luchas políticas del presente” en Borón, Atilio (2001) Teoría y filosofía política, la tradición clásica y las nuevas fronteras. Consejo Latinoamericano de Ciencias Sociales; </w:t>
      </w:r>
      <w:hyperlink r:id="rId6">
        <w:r>
          <w:rPr>
            <w:rStyle w:val="EnlacedeInternet"/>
            <w:sz w:val="24"/>
            <w:szCs w:val="24"/>
          </w:rPr>
          <w:t>www.bibliotecavirtual.clacso.org.ar/libros/teoria1/bellucci.rtf</w:t>
        </w:r>
      </w:hyperlink>
    </w:p>
    <w:p w:rsidR="00395F36" w:rsidRDefault="00417818" w14:paraId="7E37A919" w14:textId="77777777">
      <w:pPr>
        <w:pStyle w:val="Predeterminado"/>
        <w:numPr>
          <w:ilvl w:val="0"/>
          <w:numId w:val="4"/>
        </w:numPr>
        <w:spacing w:after="0" w:line="200" w:lineRule="atLeast"/>
        <w:jc w:val="both"/>
      </w:pPr>
      <w:r>
        <w:rPr>
          <w:rFonts w:ascii="Times New Roman" w:hAnsi="Times New Roman"/>
        </w:rPr>
        <w:t>De Lauretis, Teresa (1991) Sujetos excéntricos: la teoría feminista y la conciencia histórica En: María C. Cangiamo y Lindsay DuBois, (comp) De mujer a género, teoría, interpretación y práctica feministas en las ciencias sociales. Buenos Aires, Centro Editor de América Latina</w:t>
      </w:r>
    </w:p>
    <w:p w:rsidR="00395F36" w:rsidRDefault="00417818" w14:paraId="385F1C6B" w14:textId="77777777">
      <w:pPr>
        <w:pStyle w:val="Predeterminado"/>
        <w:numPr>
          <w:ilvl w:val="0"/>
          <w:numId w:val="4"/>
        </w:numPr>
        <w:spacing w:after="0" w:line="200" w:lineRule="atLeast"/>
        <w:jc w:val="both"/>
      </w:pPr>
      <w:r>
        <w:rPr>
          <w:rFonts w:ascii="Times New Roman" w:hAnsi="Times New Roman"/>
        </w:rPr>
        <w:t>Fraser, Nancy (2006) Reinventar la justicia en un mundo globalizado. En la revista: New Left Review. Nº 36</w:t>
      </w:r>
    </w:p>
    <w:p w:rsidRPr="00417818" w:rsidR="00395F36" w:rsidRDefault="00417818" w14:paraId="33D203EC" w14:textId="77777777">
      <w:pPr>
        <w:pStyle w:val="Cuerpodetexto"/>
        <w:numPr>
          <w:ilvl w:val="0"/>
          <w:numId w:val="4"/>
        </w:numPr>
        <w:tabs>
          <w:tab w:val="left" w:pos="180"/>
        </w:tabs>
        <w:spacing w:after="0" w:line="200" w:lineRule="atLeast"/>
        <w:jc w:val="both"/>
        <w:rPr>
          <w:lang w:val="es-MX"/>
        </w:rPr>
      </w:pPr>
      <w:r>
        <w:rPr>
          <w:rFonts w:eastAsia="Calibri"/>
          <w:lang w:val="es-AR" w:eastAsia="en-US"/>
        </w:rPr>
        <w:t>Haraguay, Dona (1999) Las promesas de los monstruos: Una política regeneradora para otros inapropiables/bles En, Revistapolítica y Sociedad, Nro.30, Madrid</w:t>
      </w:r>
    </w:p>
    <w:p w:rsidR="00395F36" w:rsidRDefault="00417818" w14:paraId="1AED406A" w14:textId="77777777">
      <w:pPr>
        <w:pStyle w:val="Predeterminado"/>
        <w:numPr>
          <w:ilvl w:val="0"/>
          <w:numId w:val="4"/>
        </w:numPr>
        <w:tabs>
          <w:tab w:val="left" w:pos="180"/>
        </w:tabs>
        <w:spacing w:after="0" w:line="200" w:lineRule="atLeast"/>
        <w:jc w:val="both"/>
      </w:pPr>
      <w:r>
        <w:rPr>
          <w:rFonts w:ascii="Times New Roman" w:hAnsi="Times New Roman" w:eastAsia="Calibri" w:cs="Tahoma"/>
          <w:lang w:val="es-ES"/>
        </w:rPr>
        <w:t xml:space="preserve">Lugones, M. (2008): "Colonialidad y género. Hacia un feminismo descolonial", en Mignolo, W. Género y descolonialidad, Ediciones del signo, Buenos Aires. </w:t>
      </w:r>
    </w:p>
    <w:p w:rsidRPr="00417818" w:rsidR="00395F36" w:rsidRDefault="00417818" w14:paraId="1ACCE785" w14:textId="77777777">
      <w:pPr>
        <w:pStyle w:val="Cuerpodetexto"/>
        <w:numPr>
          <w:ilvl w:val="0"/>
          <w:numId w:val="4"/>
        </w:numPr>
        <w:tabs>
          <w:tab w:val="left" w:pos="180"/>
        </w:tabs>
        <w:spacing w:after="0" w:line="200" w:lineRule="atLeast"/>
        <w:jc w:val="both"/>
        <w:rPr>
          <w:lang w:val="es-MX"/>
        </w:rPr>
      </w:pPr>
      <w:r w:rsidRPr="00417818">
        <w:rPr>
          <w:rFonts w:eastAsia="Calibri"/>
          <w:lang w:val="es-MX"/>
        </w:rPr>
        <w:lastRenderedPageBreak/>
        <w:t xml:space="preserve">Preciado, Beatriz (2010): La invención del género, o el tecnocordero que devora a los lobos En: </w:t>
      </w:r>
      <w:hyperlink r:id="rId7">
        <w:r>
          <w:rPr>
            <w:rStyle w:val="EnlacedeInternet"/>
            <w:rFonts w:eastAsia="Calibri"/>
          </w:rPr>
          <w:t>http://bibliografia-alternativa.blogspot.com.ar/2010/04/biopolitica-del-genero.html</w:t>
        </w:r>
      </w:hyperlink>
    </w:p>
    <w:p w:rsidR="00395F36" w:rsidRDefault="00417818" w14:paraId="41DA97F5" w14:textId="77777777">
      <w:pPr>
        <w:pStyle w:val="Predeterminado"/>
        <w:numPr>
          <w:ilvl w:val="0"/>
          <w:numId w:val="4"/>
        </w:numPr>
        <w:spacing w:after="0" w:line="200" w:lineRule="atLeast"/>
        <w:jc w:val="both"/>
      </w:pPr>
      <w:r>
        <w:rPr>
          <w:rFonts w:ascii="Times New Roman" w:hAnsi="Times New Roman"/>
        </w:rPr>
        <w:t>Sagot, Montserrat  (2014) La democracia en su laberinto: el neoliberalismo y los límites de la acción política feminista en Centroamérica en Carosio, Alba (comp) Feminismos para un cambio civilizatorio. Venezuela: CLACSO</w:t>
      </w:r>
    </w:p>
    <w:p w:rsidR="00395F36" w:rsidRDefault="00417818" w14:paraId="7A046625" w14:textId="77777777">
      <w:pPr>
        <w:pStyle w:val="Predeterminado"/>
        <w:numPr>
          <w:ilvl w:val="0"/>
          <w:numId w:val="4"/>
        </w:numPr>
        <w:spacing w:after="0" w:line="200" w:lineRule="atLeast"/>
        <w:jc w:val="both"/>
      </w:pPr>
      <w:r>
        <w:rPr>
          <w:rFonts w:ascii="Times New Roman" w:hAnsi="Times New Roman"/>
        </w:rPr>
        <w:t>Segato, Rita (2014) “Colonialidad y patriarcado moderno: expansión del frente estatal, modernización, y la vida de las mujeres” en Espinosa Miñoso, Yuderkys; Gómez Correal, Diana; Ochoa Muñoz – Popayán, Karina (eds.)Tejiendo de otro modo: Feminismo, epistemología y apuestas descoloniales en Abya Yala /Editorial Universidad del Cauca</w:t>
      </w:r>
    </w:p>
    <w:p w:rsidR="00395F36" w:rsidRDefault="00395F36" w14:paraId="15CF98F9" w14:textId="77777777">
      <w:pPr>
        <w:pStyle w:val="Sinespaciado"/>
        <w:spacing w:after="0" w:line="200" w:lineRule="atLeast"/>
        <w:jc w:val="both"/>
      </w:pPr>
    </w:p>
    <w:p w:rsidR="00395F36" w:rsidRDefault="00417818" w14:paraId="582C41ED" w14:textId="77777777">
      <w:pPr>
        <w:pStyle w:val="Sinespaciado"/>
        <w:spacing w:after="0" w:line="200" w:lineRule="atLeast"/>
        <w:jc w:val="both"/>
      </w:pPr>
      <w:r>
        <w:rPr>
          <w:b/>
          <w:sz w:val="24"/>
          <w:szCs w:val="24"/>
        </w:rPr>
        <w:t>Eje temático II: Feminismos y agenda pública: la construcción de leyes y políticas</w:t>
      </w:r>
    </w:p>
    <w:p w:rsidR="00395F36" w:rsidRDefault="00417818" w14:paraId="34EA0727" w14:textId="77777777">
      <w:pPr>
        <w:pStyle w:val="Predeterminado"/>
        <w:numPr>
          <w:ilvl w:val="0"/>
          <w:numId w:val="5"/>
        </w:numPr>
        <w:spacing w:after="0" w:line="200" w:lineRule="atLeast"/>
        <w:jc w:val="both"/>
      </w:pPr>
      <w:r>
        <w:rPr>
          <w:rFonts w:ascii="Times New Roman" w:hAnsi="Times New Roman"/>
        </w:rPr>
        <w:t>Baez, J (2015) Políticas educativas, jóvenes y sexualidades en América Latina y el Caribe. Las luchas feministas en la construcción de la agenda pública sobre educación sexual.  Informe. CLACSO. Disponible en: http://biblioteca.clacso.edu.ar/clacso/becas/20150825093603/politicaseducativas_educacionsexual_2015.pdf</w:t>
      </w:r>
    </w:p>
    <w:p w:rsidR="00395F36" w:rsidRDefault="00417818" w14:paraId="112125C8" w14:textId="77777777">
      <w:pPr>
        <w:pStyle w:val="Predeterminado"/>
        <w:numPr>
          <w:ilvl w:val="0"/>
          <w:numId w:val="5"/>
        </w:numPr>
        <w:spacing w:after="0" w:line="200" w:lineRule="atLeast"/>
        <w:jc w:val="both"/>
      </w:pPr>
      <w:r>
        <w:rPr>
          <w:rFonts w:ascii="Times New Roman" w:hAnsi="Times New Roman"/>
        </w:rPr>
        <w:t>Butler, Judith (2004) Deshacer el género. Buenos Aires: Ed. Paidós</w:t>
      </w:r>
    </w:p>
    <w:p w:rsidR="00395F36" w:rsidRDefault="00417818" w14:paraId="3FB32F7D" w14:textId="77777777">
      <w:pPr>
        <w:pStyle w:val="Predeterminado"/>
        <w:numPr>
          <w:ilvl w:val="0"/>
          <w:numId w:val="5"/>
        </w:numPr>
        <w:spacing w:after="0" w:line="200" w:lineRule="atLeast"/>
        <w:jc w:val="both"/>
      </w:pPr>
      <w:r>
        <w:rPr>
          <w:rFonts w:ascii="Times New Roman" w:hAnsi="Times New Roman"/>
        </w:rPr>
        <w:t xml:space="preserve">Ciriza, Alejandra (2007) En qué sentido se dice ciudadanía de mujeres? Sobre las paradojas de la abstracción del cuerpo real y el derecho a decidir. En publicación: Filosofía y teorías políticas entre la crítica y la utopía. Hoyos Vásquez, Guillermo. CLACSO, Consejo Latinoamericano de Ciencias Sociales, Buenos Aires. </w:t>
      </w:r>
    </w:p>
    <w:p w:rsidR="00395F36" w:rsidRDefault="00417818" w14:paraId="5831B356" w14:textId="77777777">
      <w:pPr>
        <w:pStyle w:val="Predeterminado"/>
        <w:numPr>
          <w:ilvl w:val="0"/>
          <w:numId w:val="5"/>
        </w:numPr>
        <w:spacing w:after="0" w:line="200" w:lineRule="atLeast"/>
        <w:jc w:val="both"/>
      </w:pPr>
      <w:r>
        <w:rPr>
          <w:rFonts w:ascii="Times New Roman" w:hAnsi="Times New Roman"/>
        </w:rPr>
        <w:t>Hiller, Renata (2010) Matrimonio igualitario y espacio público en Argentina. En: CLÉRICO, Laura; ALDAO, Martín. (Coords.) Matrimonio igualitario: Perspectivas sociales, políticas y jurídicas. Buenos Aires: Eudeba</w:t>
      </w:r>
    </w:p>
    <w:p w:rsidR="00395F36" w:rsidRDefault="00872225" w14:paraId="05B9DDC9" w14:textId="77777777">
      <w:pPr>
        <w:pStyle w:val="Predeterminado"/>
        <w:spacing w:after="0" w:line="200" w:lineRule="atLeast"/>
        <w:jc w:val="both"/>
      </w:pPr>
      <w:hyperlink r:id="rId8">
        <w:r w:rsidR="00417818">
          <w:rPr>
            <w:rStyle w:val="EnlacedeInternet"/>
            <w:rFonts w:ascii="Times New Roman" w:hAnsi="Times New Roman"/>
          </w:rPr>
          <w:t>http://repositorio.educacion.gov.ar:8080/dspace/bitstream/handle/123456789/96946/Investigacion%20PCI.pdf?sequence=1</w:t>
        </w:r>
      </w:hyperlink>
    </w:p>
    <w:p w:rsidR="00395F36" w:rsidRDefault="00417818" w14:paraId="467E1EF1" w14:textId="77777777">
      <w:pPr>
        <w:pStyle w:val="Predeterminado"/>
        <w:numPr>
          <w:ilvl w:val="0"/>
          <w:numId w:val="5"/>
        </w:numPr>
        <w:spacing w:after="0" w:line="200" w:lineRule="atLeast"/>
        <w:jc w:val="both"/>
      </w:pPr>
      <w:r>
        <w:rPr>
          <w:rFonts w:ascii="Times New Roman" w:hAnsi="Times New Roman"/>
        </w:rPr>
        <w:t>Maffia, Diana (2001) Ciudadania Sexual En Feminaria Año Nro. 26/27 Buenos Aires</w:t>
      </w:r>
    </w:p>
    <w:p w:rsidR="00395F36" w:rsidRDefault="00417818" w14:paraId="6F75E2DB" w14:textId="77777777">
      <w:pPr>
        <w:pStyle w:val="Predeterminado"/>
        <w:numPr>
          <w:ilvl w:val="0"/>
          <w:numId w:val="5"/>
        </w:numPr>
        <w:spacing w:after="0" w:line="200" w:lineRule="atLeast"/>
        <w:jc w:val="both"/>
      </w:pPr>
      <w:r>
        <w:rPr>
          <w:rFonts w:ascii="Times New Roman" w:hAnsi="Times New Roman"/>
        </w:rPr>
        <w:t>Santa Cruz, M. Isabel (1992) “Sobre el concepto de Igualdad, algunas observaciones” en Revista Isegoría Nº 6, Madrid.</w:t>
      </w:r>
    </w:p>
    <w:p w:rsidR="00395F36" w:rsidRDefault="00395F36" w14:paraId="188CED90" w14:textId="77777777">
      <w:pPr>
        <w:pStyle w:val="Sinespaciado"/>
        <w:spacing w:after="0" w:line="200" w:lineRule="atLeast"/>
        <w:jc w:val="both"/>
      </w:pPr>
    </w:p>
    <w:p w:rsidR="00395F36" w:rsidRDefault="00417818" w14:paraId="7182667B" w14:textId="77777777">
      <w:pPr>
        <w:pStyle w:val="Sinespaciado"/>
        <w:spacing w:after="0" w:line="200" w:lineRule="atLeast"/>
        <w:jc w:val="both"/>
      </w:pPr>
      <w:r>
        <w:rPr>
          <w:b/>
          <w:sz w:val="24"/>
          <w:szCs w:val="24"/>
        </w:rPr>
        <w:t>Eje Temático III Pedagogías feministas</w:t>
      </w:r>
    </w:p>
    <w:p w:rsidR="00395F36" w:rsidRDefault="00417818" w14:paraId="32A26D3A" w14:textId="77777777">
      <w:pPr>
        <w:pStyle w:val="Sinespaciado"/>
        <w:numPr>
          <w:ilvl w:val="0"/>
          <w:numId w:val="6"/>
        </w:numPr>
        <w:spacing w:after="0" w:line="200" w:lineRule="atLeast"/>
        <w:jc w:val="both"/>
      </w:pPr>
      <w:r>
        <w:rPr>
          <w:sz w:val="24"/>
          <w:szCs w:val="24"/>
        </w:rPr>
        <w:t>Entrevista a Guacira Lopez Louro https://vimeo.com/116062988</w:t>
      </w:r>
    </w:p>
    <w:p w:rsidR="00395F36" w:rsidRDefault="00417818" w14:paraId="1C451D51" w14:textId="77777777">
      <w:pPr>
        <w:pStyle w:val="Predeterminado"/>
        <w:numPr>
          <w:ilvl w:val="0"/>
          <w:numId w:val="6"/>
        </w:numPr>
        <w:spacing w:after="0" w:line="200" w:lineRule="atLeast"/>
        <w:jc w:val="both"/>
      </w:pPr>
      <w:r>
        <w:rPr>
          <w:rFonts w:ascii="Times New Roman" w:hAnsi="Times New Roman"/>
        </w:rPr>
        <w:t>Korol, C. (comp) (2007) Hacia una pedagogía feminista Géneros y educación popular. Buenos Aires: El colectivo</w:t>
      </w:r>
    </w:p>
    <w:p w:rsidR="00395F36" w:rsidRDefault="00417818" w14:paraId="22827EB3" w14:textId="77777777">
      <w:pPr>
        <w:pStyle w:val="Sinespaciado"/>
        <w:numPr>
          <w:ilvl w:val="0"/>
          <w:numId w:val="6"/>
        </w:numPr>
        <w:spacing w:after="0" w:line="200" w:lineRule="atLeast"/>
        <w:jc w:val="both"/>
      </w:pPr>
      <w:r>
        <w:rPr>
          <w:sz w:val="24"/>
          <w:szCs w:val="24"/>
        </w:rPr>
        <w:t>LOURO, GUACIRA LOPES. (2001). Teoria queer: uma política pós-identitária para a educação.Revista Estudos Feministas,9(2), 541-553. </w:t>
      </w:r>
      <w:hyperlink r:id="rId9">
        <w:r>
          <w:rPr>
            <w:rStyle w:val="EnlacedeInternet"/>
            <w:sz w:val="24"/>
            <w:szCs w:val="24"/>
          </w:rPr>
          <w:t>https://dx.doi.org/10.1590/S0104-026X2001000200012</w:t>
        </w:r>
      </w:hyperlink>
    </w:p>
    <w:p w:rsidR="00395F36" w:rsidRDefault="00417818" w14:paraId="03435D71" w14:textId="77777777">
      <w:pPr>
        <w:pStyle w:val="Predeterminado"/>
        <w:numPr>
          <w:ilvl w:val="0"/>
          <w:numId w:val="6"/>
        </w:numPr>
        <w:spacing w:after="0" w:line="200" w:lineRule="atLeast"/>
        <w:jc w:val="both"/>
      </w:pPr>
      <w:r>
        <w:rPr>
          <w:rFonts w:ascii="Times New Roman" w:hAnsi="Times New Roman"/>
        </w:rPr>
        <w:t>Estupiñán Serrano, Mary Luz (2011) “De La Pedagogía Cívico-Sexual al Gobierno de los Cuerpos” EN: Revista Nomadías Noviembre 2011, Número 14, 79 – 97</w:t>
      </w:r>
    </w:p>
    <w:p w:rsidR="00395F36" w:rsidRDefault="00417818" w14:paraId="4A64654F" w14:textId="77777777">
      <w:pPr>
        <w:pStyle w:val="Textoindependiente2"/>
        <w:numPr>
          <w:ilvl w:val="0"/>
          <w:numId w:val="6"/>
        </w:numPr>
        <w:tabs>
          <w:tab w:val="left" w:pos="180"/>
        </w:tabs>
        <w:spacing w:after="0" w:line="200" w:lineRule="atLeast"/>
        <w:jc w:val="both"/>
      </w:pPr>
      <w:r>
        <w:rPr>
          <w:rFonts w:ascii="Times New Roman" w:hAnsi="Times New Roman"/>
        </w:rPr>
        <w:t>Maceira Ochoa, Luz (2008) El sueño y la práctica de sí. Pedagogía feminista. Una propuesta.  El Colegio de México, México.</w:t>
      </w:r>
    </w:p>
    <w:p w:rsidR="00395F36" w:rsidRDefault="00417818" w14:paraId="088F5674" w14:textId="77777777">
      <w:pPr>
        <w:pStyle w:val="Textoindependiente2"/>
        <w:numPr>
          <w:ilvl w:val="0"/>
          <w:numId w:val="6"/>
        </w:numPr>
        <w:tabs>
          <w:tab w:val="left" w:pos="180"/>
        </w:tabs>
        <w:spacing w:after="0" w:line="200" w:lineRule="atLeast"/>
        <w:jc w:val="both"/>
      </w:pPr>
      <w:r w:rsidRPr="00417818">
        <w:rPr>
          <w:rFonts w:ascii="Times New Roman" w:hAnsi="Times New Roman"/>
          <w:lang w:val="en-US"/>
        </w:rPr>
        <w:t xml:space="preserve">Petrovic, J y Ballard, R (2005) “Unstraightening the Ideal Girl: lesbians, high school, and spaces to be” in Adams, N y Bettis, P, Geographies of girlhood. </w:t>
      </w:r>
      <w:r>
        <w:rPr>
          <w:rFonts w:ascii="Times New Roman" w:hAnsi="Times New Roman"/>
        </w:rPr>
        <w:t xml:space="preserve">Identities in-between, Lawrence Erlbaum Associates, New Jersey. </w:t>
      </w:r>
    </w:p>
    <w:p w:rsidR="00395F36" w:rsidRDefault="00417818" w14:paraId="7DF466F2" w14:textId="77777777">
      <w:pPr>
        <w:pStyle w:val="Predeterminado"/>
        <w:numPr>
          <w:ilvl w:val="0"/>
          <w:numId w:val="6"/>
        </w:numPr>
        <w:spacing w:after="0" w:line="200" w:lineRule="atLeast"/>
        <w:jc w:val="both"/>
      </w:pPr>
      <w:r>
        <w:rPr>
          <w:rFonts w:ascii="Times New Roman" w:hAnsi="Times New Roman"/>
        </w:rPr>
        <w:t>Scott, Joan (2001) "Experiencia", En: La ventana, Nº 13, México  pp. 42-73</w:t>
      </w:r>
    </w:p>
    <w:p w:rsidR="00395F36" w:rsidRDefault="00417818" w14:paraId="241E44B5" w14:textId="77777777">
      <w:pPr>
        <w:pStyle w:val="Predeterminado"/>
        <w:numPr>
          <w:ilvl w:val="0"/>
          <w:numId w:val="6"/>
        </w:numPr>
        <w:spacing w:after="0" w:line="200" w:lineRule="atLeast"/>
        <w:jc w:val="both"/>
      </w:pPr>
      <w:r>
        <w:rPr>
          <w:rFonts w:ascii="Times New Roman" w:hAnsi="Times New Roman"/>
        </w:rPr>
        <w:lastRenderedPageBreak/>
        <w:t>Subirats, M. y Brullet, C. (1988) Rosa y Azul. La transmisión de los géneros en la escuela mixta. Madrid: Instituto de la Mujer.</w:t>
      </w:r>
    </w:p>
    <w:p w:rsidR="00395F36" w:rsidRDefault="00395F36" w14:paraId="383E91B8" w14:textId="77777777">
      <w:pPr>
        <w:pStyle w:val="Sinespaciado"/>
        <w:spacing w:after="0" w:line="200" w:lineRule="atLeast"/>
        <w:jc w:val="both"/>
      </w:pPr>
    </w:p>
    <w:p w:rsidR="00395F36" w:rsidRDefault="00417818" w14:paraId="53692200" w14:textId="77777777">
      <w:pPr>
        <w:pStyle w:val="Sinespaciado"/>
        <w:spacing w:after="0" w:line="200" w:lineRule="atLeast"/>
        <w:jc w:val="both"/>
      </w:pPr>
      <w:r>
        <w:rPr>
          <w:b/>
          <w:sz w:val="24"/>
          <w:szCs w:val="24"/>
        </w:rPr>
        <w:t>Evaluación del Seminario</w:t>
      </w:r>
    </w:p>
    <w:p w:rsidR="00395F36" w:rsidRDefault="00395F36" w14:paraId="034A31E5" w14:textId="77777777">
      <w:pPr>
        <w:pStyle w:val="Sinespaciado"/>
        <w:spacing w:after="0" w:line="200" w:lineRule="atLeast"/>
        <w:jc w:val="both"/>
      </w:pPr>
    </w:p>
    <w:p w:rsidR="00E65725" w:rsidP="00E65725" w:rsidRDefault="00E65725" w14:paraId="5068D424" w14:textId="77777777">
      <w:pPr>
        <w:pStyle w:val="Sinespaciado"/>
        <w:spacing w:after="0" w:line="200" w:lineRule="atLeast"/>
        <w:jc w:val="both"/>
        <w:rPr>
          <w:sz w:val="24"/>
          <w:szCs w:val="24"/>
        </w:rPr>
      </w:pPr>
      <w:r>
        <w:rPr>
          <w:sz w:val="24"/>
          <w:szCs w:val="24"/>
        </w:rPr>
        <w:t xml:space="preserve">A lo largo del seminario se generarán diferentes producciones que serán de entrega obligatoria pero no calificable. Lxs docentes realizarán devoluciones que  esperan aportar a seguir pensando sobre ellas teniendo como marco la bibliografía del seminario. Como trabajo final, evaluable, se dará una consigna que propondrá integrar las producciones realizadas en una nueva que será el trabajo que se evaluará para la aprobación del seminario. </w:t>
      </w:r>
    </w:p>
    <w:p w:rsidR="00E65725" w:rsidRDefault="00E65725" w14:paraId="609F3A87" w14:textId="77777777">
      <w:pPr>
        <w:pStyle w:val="Sinespaciado"/>
        <w:spacing w:after="0" w:line="200" w:lineRule="atLeast"/>
        <w:jc w:val="both"/>
        <w:rPr>
          <w:sz w:val="24"/>
          <w:szCs w:val="24"/>
        </w:rPr>
      </w:pPr>
    </w:p>
    <w:p w:rsidR="00395F36" w:rsidRDefault="002816F3" w14:paraId="57952888" w14:textId="77777777">
      <w:pPr>
        <w:pStyle w:val="Predeterminado"/>
        <w:spacing w:after="0" w:line="200" w:lineRule="atLeast"/>
        <w:jc w:val="both"/>
      </w:pPr>
      <w:r>
        <w:rPr>
          <w:rFonts w:ascii="Times New Roman" w:hAnsi="Times New Roman" w:cs="Times New Roman"/>
          <w:lang w:val="es-ES"/>
        </w:rPr>
        <w:t>CONDICIONES PARA LA APROBACIÓN</w:t>
      </w:r>
    </w:p>
    <w:p w:rsidRPr="002816F3" w:rsidR="002816F3" w:rsidRDefault="002816F3" w14:paraId="1040BAEE" w14:textId="77777777">
      <w:pPr>
        <w:pStyle w:val="Predeterminado"/>
        <w:numPr>
          <w:ilvl w:val="0"/>
          <w:numId w:val="2"/>
        </w:numPr>
        <w:spacing w:after="0" w:line="200" w:lineRule="atLeast"/>
        <w:jc w:val="both"/>
        <w:rPr>
          <w:rFonts w:ascii="Times New Roman" w:hAnsi="Times New Roman" w:cs="Times New Roman"/>
        </w:rPr>
      </w:pPr>
      <w:r w:rsidRPr="002816F3">
        <w:rPr>
          <w:rFonts w:ascii="Times New Roman" w:hAnsi="Times New Roman" w:cs="Times New Roman"/>
        </w:rPr>
        <w:t>Participación en las actividades de intercambio y debate (Foros asincrónicos)</w:t>
      </w:r>
    </w:p>
    <w:p w:rsidRPr="002816F3" w:rsidR="002816F3" w:rsidP="002816F3" w:rsidRDefault="002816F3" w14:paraId="1E5007EB" w14:textId="77777777">
      <w:pPr>
        <w:pStyle w:val="Predeterminado"/>
        <w:numPr>
          <w:ilvl w:val="0"/>
          <w:numId w:val="2"/>
        </w:numPr>
        <w:spacing w:after="0" w:line="200" w:lineRule="atLeast"/>
        <w:jc w:val="both"/>
        <w:rPr>
          <w:rFonts w:ascii="Times New Roman" w:hAnsi="Times New Roman" w:cs="Times New Roman"/>
        </w:rPr>
      </w:pPr>
      <w:r w:rsidRPr="002816F3">
        <w:rPr>
          <w:rFonts w:ascii="Times New Roman" w:hAnsi="Times New Roman" w:cs="Times New Roman"/>
          <w:lang w:val="es-ES"/>
        </w:rPr>
        <w:t>P</w:t>
      </w:r>
      <w:r w:rsidRPr="002816F3" w:rsidR="00E65725">
        <w:rPr>
          <w:rFonts w:ascii="Times New Roman" w:hAnsi="Times New Roman" w:cs="Times New Roman"/>
          <w:lang w:val="es-ES"/>
        </w:rPr>
        <w:t xml:space="preserve">resentación en tiempo y </w:t>
      </w:r>
      <w:r w:rsidRPr="002816F3">
        <w:rPr>
          <w:rFonts w:ascii="Times New Roman" w:hAnsi="Times New Roman" w:cs="Times New Roman"/>
          <w:lang w:val="es-ES"/>
        </w:rPr>
        <w:t>forma de</w:t>
      </w:r>
      <w:r w:rsidRPr="002816F3" w:rsidR="00417818">
        <w:rPr>
          <w:rFonts w:ascii="Times New Roman" w:hAnsi="Times New Roman" w:cs="Times New Roman"/>
          <w:lang w:val="es-ES"/>
        </w:rPr>
        <w:t xml:space="preserve"> </w:t>
      </w:r>
      <w:r w:rsidRPr="002816F3">
        <w:rPr>
          <w:rFonts w:ascii="Times New Roman" w:hAnsi="Times New Roman" w:cs="Times New Roman"/>
          <w:lang w:val="es-ES"/>
        </w:rPr>
        <w:t>los breves ensayos y escritos solicitados (Tareas)</w:t>
      </w:r>
    </w:p>
    <w:p w:rsidRPr="002816F3" w:rsidR="00395F36" w:rsidP="002816F3" w:rsidRDefault="002816F3" w14:paraId="7F4C7279" w14:textId="77777777">
      <w:pPr>
        <w:pStyle w:val="Predeterminado"/>
        <w:numPr>
          <w:ilvl w:val="0"/>
          <w:numId w:val="2"/>
        </w:numPr>
        <w:spacing w:after="0" w:line="200" w:lineRule="atLeast"/>
        <w:jc w:val="both"/>
      </w:pPr>
      <w:r w:rsidRPr="002816F3">
        <w:rPr>
          <w:rFonts w:ascii="Times New Roman" w:hAnsi="Times New Roman" w:cs="Times New Roman"/>
          <w:lang w:val="es-ES"/>
        </w:rPr>
        <w:t>A</w:t>
      </w:r>
      <w:r w:rsidRPr="002816F3" w:rsidR="00E65725">
        <w:rPr>
          <w:rFonts w:ascii="Times New Roman" w:hAnsi="Times New Roman" w:cs="Times New Roman"/>
          <w:lang w:val="es-ES"/>
        </w:rPr>
        <w:t xml:space="preserve">probación </w:t>
      </w:r>
      <w:r w:rsidRPr="002816F3">
        <w:rPr>
          <w:rFonts w:ascii="Times New Roman" w:hAnsi="Times New Roman" w:cs="Times New Roman"/>
          <w:lang w:val="es-ES"/>
        </w:rPr>
        <w:t>de un</w:t>
      </w:r>
      <w:r w:rsidRPr="002816F3" w:rsidR="00417818">
        <w:rPr>
          <w:rFonts w:ascii="Times New Roman" w:hAnsi="Times New Roman" w:cs="Times New Roman"/>
          <w:lang w:val="es-ES"/>
        </w:rPr>
        <w:t xml:space="preserve"> trabajo </w:t>
      </w:r>
      <w:r w:rsidRPr="002816F3" w:rsidR="00E65725">
        <w:rPr>
          <w:rFonts w:ascii="Times New Roman" w:hAnsi="Times New Roman" w:cs="Times New Roman"/>
          <w:lang w:val="es-ES"/>
        </w:rPr>
        <w:t xml:space="preserve">integrador </w:t>
      </w:r>
      <w:r w:rsidRPr="002816F3" w:rsidR="00417818">
        <w:rPr>
          <w:rFonts w:ascii="Times New Roman" w:hAnsi="Times New Roman" w:cs="Times New Roman"/>
          <w:lang w:val="es-ES"/>
        </w:rPr>
        <w:t xml:space="preserve">final   </w:t>
      </w:r>
    </w:p>
    <w:p w:rsidR="00395F36" w:rsidRDefault="00395F36" w14:paraId="32D07D53" w14:textId="77777777">
      <w:pPr>
        <w:pStyle w:val="Predeterminado"/>
        <w:shd w:val="clear" w:color="auto" w:fill="FFFFFF"/>
        <w:spacing w:after="0" w:line="200" w:lineRule="atLeast"/>
        <w:jc w:val="both"/>
      </w:pPr>
    </w:p>
    <w:p w:rsidR="00395F36" w:rsidRDefault="00417818" w14:paraId="0364AC40" w14:textId="77777777">
      <w:pPr>
        <w:pStyle w:val="Predeterminado"/>
        <w:shd w:val="clear" w:color="auto" w:fill="FFFFFF"/>
        <w:spacing w:after="0" w:line="200" w:lineRule="atLeast"/>
        <w:jc w:val="both"/>
      </w:pPr>
      <w:r>
        <w:rPr>
          <w:rFonts w:ascii="Times New Roman" w:hAnsi="Times New Roman" w:eastAsia="Times New Roman" w:cs="Times New Roman"/>
          <w:b/>
          <w:lang w:eastAsia="es-MX"/>
        </w:rPr>
        <w:t>CARGAS HORARIAS RELACIONADAS AL DICTADO DE LA ACTIVIDAD EN HORAS RELOJ.</w:t>
      </w:r>
    </w:p>
    <w:p w:rsidRPr="002816F3" w:rsidR="00395F36" w:rsidRDefault="00417818" w14:paraId="4830D796" w14:textId="77777777">
      <w:pPr>
        <w:pStyle w:val="Predeterminado"/>
        <w:shd w:val="clear" w:color="auto" w:fill="FFFFFF"/>
        <w:spacing w:after="0" w:line="200" w:lineRule="atLeast"/>
        <w:jc w:val="both"/>
      </w:pPr>
      <w:r w:rsidRPr="002816F3">
        <w:rPr>
          <w:rFonts w:ascii="Times New Roman" w:hAnsi="Times New Roman" w:eastAsia="Times New Roman" w:cs="Times New Roman"/>
          <w:lang w:eastAsia="es-MX"/>
        </w:rPr>
        <w:t xml:space="preserve">MODALIDAD </w:t>
      </w:r>
      <w:r w:rsidRPr="002816F3" w:rsidR="002816F3">
        <w:rPr>
          <w:rFonts w:ascii="Times New Roman" w:hAnsi="Times New Roman" w:eastAsia="Times New Roman" w:cs="Times New Roman"/>
          <w:lang w:eastAsia="es-MX"/>
        </w:rPr>
        <w:t>VIRTUAL</w:t>
      </w:r>
    </w:p>
    <w:p w:rsidRPr="002816F3" w:rsidR="00395F36" w:rsidRDefault="00417818" w14:paraId="14CB6226" w14:textId="77777777">
      <w:pPr>
        <w:pStyle w:val="Predeterminado"/>
        <w:numPr>
          <w:ilvl w:val="0"/>
          <w:numId w:val="3"/>
        </w:numPr>
        <w:shd w:val="clear" w:color="auto" w:fill="FFFFFF"/>
        <w:spacing w:after="0" w:line="200" w:lineRule="atLeast"/>
        <w:jc w:val="both"/>
      </w:pPr>
      <w:r w:rsidRPr="002816F3">
        <w:rPr>
          <w:rFonts w:ascii="Times New Roman" w:hAnsi="Times New Roman" w:eastAsia="Times New Roman" w:cs="Times New Roman"/>
          <w:lang w:eastAsia="es-MX"/>
        </w:rPr>
        <w:t xml:space="preserve">CARGA TEÓRICA: 30 </w:t>
      </w:r>
    </w:p>
    <w:p w:rsidRPr="002816F3" w:rsidR="00395F36" w:rsidRDefault="00417818" w14:paraId="5980F850" w14:textId="77777777">
      <w:pPr>
        <w:pStyle w:val="Predeterminado"/>
        <w:numPr>
          <w:ilvl w:val="0"/>
          <w:numId w:val="3"/>
        </w:numPr>
        <w:shd w:val="clear" w:color="auto" w:fill="FFFFFF"/>
        <w:spacing w:after="0" w:line="200" w:lineRule="atLeast"/>
        <w:jc w:val="both"/>
      </w:pPr>
      <w:r w:rsidRPr="002816F3">
        <w:rPr>
          <w:rFonts w:ascii="Times New Roman" w:hAnsi="Times New Roman" w:eastAsia="Times New Roman" w:cs="Times New Roman"/>
          <w:lang w:eastAsia="es-MX"/>
        </w:rPr>
        <w:t xml:space="preserve">CARGA </w:t>
      </w:r>
      <w:r w:rsidRPr="002816F3" w:rsidR="002816F3">
        <w:rPr>
          <w:rFonts w:ascii="Times New Roman" w:hAnsi="Times New Roman" w:eastAsia="Times New Roman" w:cs="Times New Roman"/>
          <w:lang w:eastAsia="es-MX"/>
        </w:rPr>
        <w:t>PRÁCTICA:</w:t>
      </w:r>
      <w:r w:rsidRPr="002816F3">
        <w:rPr>
          <w:rFonts w:ascii="Times New Roman" w:hAnsi="Times New Roman" w:eastAsia="Times New Roman" w:cs="Times New Roman"/>
          <w:lang w:eastAsia="es-MX"/>
        </w:rPr>
        <w:t xml:space="preserve"> 14</w:t>
      </w:r>
    </w:p>
    <w:p w:rsidRPr="002816F3" w:rsidR="00395F36" w:rsidP="002816F3" w:rsidRDefault="00417818" w14:paraId="43C2EADB" w14:textId="77777777">
      <w:pPr>
        <w:pStyle w:val="Predeterminado"/>
        <w:numPr>
          <w:ilvl w:val="0"/>
          <w:numId w:val="3"/>
        </w:numPr>
        <w:shd w:val="clear" w:color="auto" w:fill="FFFFFF"/>
        <w:spacing w:after="0" w:line="200" w:lineRule="atLeast"/>
        <w:jc w:val="both"/>
      </w:pPr>
      <w:r w:rsidRPr="002816F3">
        <w:rPr>
          <w:rFonts w:ascii="Times New Roman" w:hAnsi="Times New Roman" w:eastAsia="Times New Roman" w:cs="Times New Roman"/>
          <w:lang w:eastAsia="es-MX"/>
        </w:rPr>
        <w:t xml:space="preserve">TOTAL: 44 HS </w:t>
      </w:r>
    </w:p>
    <w:sectPr w:rsidRPr="002816F3" w:rsidR="00395F36" w:rsidSect="002816F3">
      <w:pgSz w:w="11906" w:h="16838" w:orient="portrait" w:code="9"/>
      <w:pgMar w:top="1417" w:right="1701" w:bottom="1417" w:left="1701" w:header="72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2AC"/>
    <w:multiLevelType w:val="multilevel"/>
    <w:tmpl w:val="01C89760"/>
    <w:lvl w:ilvl="0">
      <w:start w:val="1"/>
      <w:numFmt w:val="bullet"/>
      <w:lvlText w:val=""/>
      <w:lvlJc w:val="left"/>
      <w:pPr>
        <w:ind w:left="720" w:hanging="360"/>
      </w:pPr>
      <w:rPr>
        <w:rFonts w:hint="default" w:ascii="Wingdings 2" w:hAnsi="Wingdings 2" w:cs="Wingdings 2"/>
      </w:rPr>
    </w:lvl>
    <w:lvl w:ilvl="1">
      <w:start w:val="1"/>
      <w:numFmt w:val="bullet"/>
      <w:lvlText w:val="◦"/>
      <w:lvlJc w:val="left"/>
      <w:pPr>
        <w:ind w:left="1080" w:hanging="360"/>
      </w:pPr>
      <w:rPr>
        <w:rFonts w:hint="default" w:ascii="OpenSymbol" w:hAnsi="OpenSymbol" w:cs="OpenSymbol"/>
      </w:rPr>
    </w:lvl>
    <w:lvl w:ilvl="2">
      <w:start w:val="1"/>
      <w:numFmt w:val="bullet"/>
      <w:lvlText w:val="▪"/>
      <w:lvlJc w:val="left"/>
      <w:pPr>
        <w:ind w:left="1440" w:hanging="360"/>
      </w:pPr>
      <w:rPr>
        <w:rFonts w:hint="default" w:ascii="OpenSymbol" w:hAnsi="OpenSymbol" w:cs="OpenSymbol"/>
      </w:rPr>
    </w:lvl>
    <w:lvl w:ilvl="3">
      <w:start w:val="1"/>
      <w:numFmt w:val="bullet"/>
      <w:lvlText w:val=""/>
      <w:lvlJc w:val="left"/>
      <w:pPr>
        <w:ind w:left="1800" w:hanging="360"/>
      </w:pPr>
      <w:rPr>
        <w:rFonts w:hint="default" w:ascii="Wingdings 2" w:hAnsi="Wingdings 2" w:cs="Wingdings 2"/>
      </w:rPr>
    </w:lvl>
    <w:lvl w:ilvl="4">
      <w:start w:val="1"/>
      <w:numFmt w:val="bullet"/>
      <w:lvlText w:val="◦"/>
      <w:lvlJc w:val="left"/>
      <w:pPr>
        <w:ind w:left="2160" w:hanging="360"/>
      </w:pPr>
      <w:rPr>
        <w:rFonts w:hint="default" w:ascii="OpenSymbol" w:hAnsi="OpenSymbol" w:cs="OpenSymbol"/>
      </w:rPr>
    </w:lvl>
    <w:lvl w:ilvl="5">
      <w:start w:val="1"/>
      <w:numFmt w:val="bullet"/>
      <w:lvlText w:val="▪"/>
      <w:lvlJc w:val="left"/>
      <w:pPr>
        <w:ind w:left="2520" w:hanging="360"/>
      </w:pPr>
      <w:rPr>
        <w:rFonts w:hint="default" w:ascii="OpenSymbol" w:hAnsi="OpenSymbol" w:cs="OpenSymbol"/>
      </w:rPr>
    </w:lvl>
    <w:lvl w:ilvl="6">
      <w:start w:val="1"/>
      <w:numFmt w:val="bullet"/>
      <w:lvlText w:val=""/>
      <w:lvlJc w:val="left"/>
      <w:pPr>
        <w:ind w:left="2880" w:hanging="360"/>
      </w:pPr>
      <w:rPr>
        <w:rFonts w:hint="default" w:ascii="Wingdings 2" w:hAnsi="Wingdings 2" w:cs="Wingdings 2"/>
      </w:rPr>
    </w:lvl>
    <w:lvl w:ilvl="7">
      <w:start w:val="1"/>
      <w:numFmt w:val="bullet"/>
      <w:lvlText w:val="◦"/>
      <w:lvlJc w:val="left"/>
      <w:pPr>
        <w:ind w:left="3240" w:hanging="360"/>
      </w:pPr>
      <w:rPr>
        <w:rFonts w:hint="default" w:ascii="OpenSymbol" w:hAnsi="OpenSymbol" w:cs="OpenSymbol"/>
      </w:rPr>
    </w:lvl>
    <w:lvl w:ilvl="8">
      <w:start w:val="1"/>
      <w:numFmt w:val="bullet"/>
      <w:lvlText w:val="▪"/>
      <w:lvlJc w:val="left"/>
      <w:pPr>
        <w:ind w:left="3600" w:hanging="360"/>
      </w:pPr>
      <w:rPr>
        <w:rFonts w:hint="default" w:ascii="OpenSymbol" w:hAnsi="OpenSymbol" w:cs="OpenSymbol"/>
      </w:rPr>
    </w:lvl>
  </w:abstractNum>
  <w:abstractNum w:abstractNumId="1" w15:restartNumberingAfterBreak="0">
    <w:nsid w:val="36691044"/>
    <w:multiLevelType w:val="multilevel"/>
    <w:tmpl w:val="74CAFC70"/>
    <w:lvl w:ilvl="0">
      <w:start w:val="1"/>
      <w:numFmt w:val="bullet"/>
      <w:lvlText w:val=""/>
      <w:lvlJc w:val="left"/>
      <w:pPr>
        <w:ind w:left="360" w:hanging="360"/>
      </w:pPr>
      <w:rPr>
        <w:rFonts w:hint="default" w:ascii="Symbol" w:hAnsi="Symbol" w:cs="Symbo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99E1AEB"/>
    <w:multiLevelType w:val="multilevel"/>
    <w:tmpl w:val="BD72393E"/>
    <w:lvl w:ilvl="0">
      <w:start w:val="1"/>
      <w:numFmt w:val="bullet"/>
      <w:lvlText w:val=""/>
      <w:lvlJc w:val="left"/>
      <w:pPr>
        <w:ind w:left="720" w:hanging="360"/>
      </w:pPr>
      <w:rPr>
        <w:rFonts w:hint="default" w:ascii="Wingdings 2" w:hAnsi="Wingdings 2" w:cs="Wingdings 2"/>
      </w:rPr>
    </w:lvl>
    <w:lvl w:ilvl="1">
      <w:start w:val="1"/>
      <w:numFmt w:val="bullet"/>
      <w:lvlText w:val="◦"/>
      <w:lvlJc w:val="left"/>
      <w:pPr>
        <w:ind w:left="1080" w:hanging="360"/>
      </w:pPr>
      <w:rPr>
        <w:rFonts w:hint="default" w:ascii="OpenSymbol" w:hAnsi="OpenSymbol" w:cs="OpenSymbol"/>
      </w:rPr>
    </w:lvl>
    <w:lvl w:ilvl="2">
      <w:start w:val="1"/>
      <w:numFmt w:val="bullet"/>
      <w:lvlText w:val="▪"/>
      <w:lvlJc w:val="left"/>
      <w:pPr>
        <w:ind w:left="1440" w:hanging="360"/>
      </w:pPr>
      <w:rPr>
        <w:rFonts w:hint="default" w:ascii="OpenSymbol" w:hAnsi="OpenSymbol" w:cs="OpenSymbol"/>
      </w:rPr>
    </w:lvl>
    <w:lvl w:ilvl="3">
      <w:start w:val="1"/>
      <w:numFmt w:val="bullet"/>
      <w:lvlText w:val=""/>
      <w:lvlJc w:val="left"/>
      <w:pPr>
        <w:ind w:left="1800" w:hanging="360"/>
      </w:pPr>
      <w:rPr>
        <w:rFonts w:hint="default" w:ascii="Wingdings 2" w:hAnsi="Wingdings 2" w:cs="Wingdings 2"/>
      </w:rPr>
    </w:lvl>
    <w:lvl w:ilvl="4">
      <w:start w:val="1"/>
      <w:numFmt w:val="bullet"/>
      <w:lvlText w:val="◦"/>
      <w:lvlJc w:val="left"/>
      <w:pPr>
        <w:ind w:left="2160" w:hanging="360"/>
      </w:pPr>
      <w:rPr>
        <w:rFonts w:hint="default" w:ascii="OpenSymbol" w:hAnsi="OpenSymbol" w:cs="OpenSymbol"/>
      </w:rPr>
    </w:lvl>
    <w:lvl w:ilvl="5">
      <w:start w:val="1"/>
      <w:numFmt w:val="bullet"/>
      <w:lvlText w:val="▪"/>
      <w:lvlJc w:val="left"/>
      <w:pPr>
        <w:ind w:left="2520" w:hanging="360"/>
      </w:pPr>
      <w:rPr>
        <w:rFonts w:hint="default" w:ascii="OpenSymbol" w:hAnsi="OpenSymbol" w:cs="OpenSymbol"/>
      </w:rPr>
    </w:lvl>
    <w:lvl w:ilvl="6">
      <w:start w:val="1"/>
      <w:numFmt w:val="bullet"/>
      <w:lvlText w:val=""/>
      <w:lvlJc w:val="left"/>
      <w:pPr>
        <w:ind w:left="2880" w:hanging="360"/>
      </w:pPr>
      <w:rPr>
        <w:rFonts w:hint="default" w:ascii="Wingdings 2" w:hAnsi="Wingdings 2" w:cs="Wingdings 2"/>
      </w:rPr>
    </w:lvl>
    <w:lvl w:ilvl="7">
      <w:start w:val="1"/>
      <w:numFmt w:val="bullet"/>
      <w:lvlText w:val="◦"/>
      <w:lvlJc w:val="left"/>
      <w:pPr>
        <w:ind w:left="3240" w:hanging="360"/>
      </w:pPr>
      <w:rPr>
        <w:rFonts w:hint="default" w:ascii="OpenSymbol" w:hAnsi="OpenSymbol" w:cs="OpenSymbol"/>
      </w:rPr>
    </w:lvl>
    <w:lvl w:ilvl="8">
      <w:start w:val="1"/>
      <w:numFmt w:val="bullet"/>
      <w:lvlText w:val="▪"/>
      <w:lvlJc w:val="left"/>
      <w:pPr>
        <w:ind w:left="3600" w:hanging="360"/>
      </w:pPr>
      <w:rPr>
        <w:rFonts w:hint="default" w:ascii="OpenSymbol" w:hAnsi="OpenSymbol" w:cs="OpenSymbol"/>
      </w:rPr>
    </w:lvl>
  </w:abstractNum>
  <w:abstractNum w:abstractNumId="3" w15:restartNumberingAfterBreak="0">
    <w:nsid w:val="533C7B2E"/>
    <w:multiLevelType w:val="multilevel"/>
    <w:tmpl w:val="DA9AC190"/>
    <w:lvl w:ilvl="0">
      <w:start w:val="1"/>
      <w:numFmt w:val="bullet"/>
      <w:lvlText w:val=""/>
      <w:lvlJc w:val="left"/>
      <w:pPr>
        <w:ind w:left="720" w:hanging="360"/>
      </w:pPr>
      <w:rPr>
        <w:rFonts w:hint="default" w:ascii="Wingdings 2" w:hAnsi="Wingdings 2" w:cs="Wingdings 2"/>
      </w:rPr>
    </w:lvl>
    <w:lvl w:ilvl="1">
      <w:start w:val="1"/>
      <w:numFmt w:val="bullet"/>
      <w:lvlText w:val="◦"/>
      <w:lvlJc w:val="left"/>
      <w:pPr>
        <w:ind w:left="1080" w:hanging="360"/>
      </w:pPr>
      <w:rPr>
        <w:rFonts w:hint="default" w:ascii="OpenSymbol" w:hAnsi="OpenSymbol" w:cs="OpenSymbol"/>
      </w:rPr>
    </w:lvl>
    <w:lvl w:ilvl="2">
      <w:start w:val="1"/>
      <w:numFmt w:val="bullet"/>
      <w:lvlText w:val="▪"/>
      <w:lvlJc w:val="left"/>
      <w:pPr>
        <w:ind w:left="1440" w:hanging="360"/>
      </w:pPr>
      <w:rPr>
        <w:rFonts w:hint="default" w:ascii="OpenSymbol" w:hAnsi="OpenSymbol" w:cs="OpenSymbol"/>
      </w:rPr>
    </w:lvl>
    <w:lvl w:ilvl="3">
      <w:start w:val="1"/>
      <w:numFmt w:val="bullet"/>
      <w:lvlText w:val=""/>
      <w:lvlJc w:val="left"/>
      <w:pPr>
        <w:ind w:left="1800" w:hanging="360"/>
      </w:pPr>
      <w:rPr>
        <w:rFonts w:hint="default" w:ascii="Wingdings 2" w:hAnsi="Wingdings 2" w:cs="Wingdings 2"/>
      </w:rPr>
    </w:lvl>
    <w:lvl w:ilvl="4">
      <w:start w:val="1"/>
      <w:numFmt w:val="bullet"/>
      <w:lvlText w:val="◦"/>
      <w:lvlJc w:val="left"/>
      <w:pPr>
        <w:ind w:left="2160" w:hanging="360"/>
      </w:pPr>
      <w:rPr>
        <w:rFonts w:hint="default" w:ascii="OpenSymbol" w:hAnsi="OpenSymbol" w:cs="OpenSymbol"/>
      </w:rPr>
    </w:lvl>
    <w:lvl w:ilvl="5">
      <w:start w:val="1"/>
      <w:numFmt w:val="bullet"/>
      <w:lvlText w:val="▪"/>
      <w:lvlJc w:val="left"/>
      <w:pPr>
        <w:ind w:left="2520" w:hanging="360"/>
      </w:pPr>
      <w:rPr>
        <w:rFonts w:hint="default" w:ascii="OpenSymbol" w:hAnsi="OpenSymbol" w:cs="OpenSymbol"/>
      </w:rPr>
    </w:lvl>
    <w:lvl w:ilvl="6">
      <w:start w:val="1"/>
      <w:numFmt w:val="bullet"/>
      <w:lvlText w:val=""/>
      <w:lvlJc w:val="left"/>
      <w:pPr>
        <w:ind w:left="2880" w:hanging="360"/>
      </w:pPr>
      <w:rPr>
        <w:rFonts w:hint="default" w:ascii="Wingdings 2" w:hAnsi="Wingdings 2" w:cs="Wingdings 2"/>
      </w:rPr>
    </w:lvl>
    <w:lvl w:ilvl="7">
      <w:start w:val="1"/>
      <w:numFmt w:val="bullet"/>
      <w:lvlText w:val="◦"/>
      <w:lvlJc w:val="left"/>
      <w:pPr>
        <w:ind w:left="3240" w:hanging="360"/>
      </w:pPr>
      <w:rPr>
        <w:rFonts w:hint="default" w:ascii="OpenSymbol" w:hAnsi="OpenSymbol" w:cs="OpenSymbol"/>
      </w:rPr>
    </w:lvl>
    <w:lvl w:ilvl="8">
      <w:start w:val="1"/>
      <w:numFmt w:val="bullet"/>
      <w:lvlText w:val="▪"/>
      <w:lvlJc w:val="left"/>
      <w:pPr>
        <w:ind w:left="3600" w:hanging="360"/>
      </w:pPr>
      <w:rPr>
        <w:rFonts w:hint="default" w:ascii="OpenSymbol" w:hAnsi="OpenSymbol" w:cs="OpenSymbol"/>
      </w:rPr>
    </w:lvl>
  </w:abstractNum>
  <w:abstractNum w:abstractNumId="4" w15:restartNumberingAfterBreak="0">
    <w:nsid w:val="575B1420"/>
    <w:multiLevelType w:val="multilevel"/>
    <w:tmpl w:val="862256D6"/>
    <w:lvl w:ilvl="0">
      <w:start w:val="1"/>
      <w:numFmt w:val="bullet"/>
      <w:lvlText w:val=""/>
      <w:lvlJc w:val="left"/>
      <w:pPr>
        <w:ind w:left="1080" w:hanging="360"/>
      </w:pPr>
      <w:rPr>
        <w:rFonts w:hint="default" w:ascii="Symbol" w:hAnsi="Symbol" w:cs="Symbol"/>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15:restartNumberingAfterBreak="0">
    <w:nsid w:val="64320FBB"/>
    <w:multiLevelType w:val="multilevel"/>
    <w:tmpl w:val="7C5A24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6CB94795"/>
    <w:multiLevelType w:val="multilevel"/>
    <w:tmpl w:val="A42469FC"/>
    <w:lvl w:ilvl="0">
      <w:start w:val="1"/>
      <w:numFmt w:val="bullet"/>
      <w:lvlText w:val=""/>
      <w:lvlJc w:val="left"/>
      <w:pPr>
        <w:ind w:left="720" w:hanging="360"/>
      </w:pPr>
      <w:rPr>
        <w:rFonts w:hint="default" w:ascii="Symbol" w:hAnsi="Symbol" w:cs="Symbol"/>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36"/>
    <w:rsid w:val="002816F3"/>
    <w:rsid w:val="003958A5"/>
    <w:rsid w:val="00395F36"/>
    <w:rsid w:val="00417818"/>
    <w:rsid w:val="00872225"/>
    <w:rsid w:val="00D7570B"/>
    <w:rsid w:val="00E65725"/>
    <w:rsid w:val="1FBAE964"/>
    <w:rsid w:val="3BF9189C"/>
    <w:rsid w:val="3D431848"/>
    <w:rsid w:val="46989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DC82"/>
  <w15:docId w15:val="{4F496EC6-03BE-415A-83C4-E4D5097C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edeterminado" w:customStyle="1">
    <w:name w:val="Predeterminado"/>
    <w:rsid w:val="00395F36"/>
    <w:pPr>
      <w:tabs>
        <w:tab w:val="left" w:pos="708"/>
      </w:tabs>
      <w:suppressAutoHyphens/>
      <w:spacing w:line="276" w:lineRule="atLeast"/>
    </w:pPr>
    <w:rPr>
      <w:rFonts w:ascii="Cambria" w:hAnsi="Cambria" w:eastAsia="SimSun" w:cs="Cambria"/>
      <w:color w:val="000000"/>
      <w:sz w:val="24"/>
      <w:szCs w:val="24"/>
      <w:lang w:val="es-CO" w:eastAsia="zh-CN" w:bidi="hi-IN"/>
    </w:rPr>
  </w:style>
  <w:style w:type="paragraph" w:styleId="Encabezado3" w:customStyle="1">
    <w:name w:val="Encabezado 3"/>
    <w:basedOn w:val="Predeterminado"/>
    <w:next w:val="Cuerpodetexto"/>
    <w:rsid w:val="00395F36"/>
    <w:pPr>
      <w:keepNext/>
      <w:numPr>
        <w:ilvl w:val="2"/>
        <w:numId w:val="1"/>
      </w:numPr>
      <w:spacing w:before="240" w:after="60"/>
      <w:outlineLvl w:val="2"/>
    </w:pPr>
    <w:rPr>
      <w:rFonts w:eastAsia="Times New Roman"/>
      <w:b/>
      <w:bCs/>
      <w:sz w:val="26"/>
      <w:szCs w:val="26"/>
    </w:rPr>
  </w:style>
  <w:style w:type="character" w:styleId="TextodegloboCar" w:customStyle="1">
    <w:name w:val="Texto de globo Car"/>
    <w:basedOn w:val="Fuentedeprrafopredeter"/>
    <w:rsid w:val="00395F36"/>
    <w:rPr>
      <w:rFonts w:ascii="Tahoma" w:hAnsi="Tahoma" w:cs="Tahoma"/>
      <w:sz w:val="16"/>
      <w:szCs w:val="16"/>
    </w:rPr>
  </w:style>
  <w:style w:type="character" w:styleId="EncabezadoCar" w:customStyle="1">
    <w:name w:val="Encabezado Car"/>
    <w:basedOn w:val="Fuentedeprrafopredeter"/>
    <w:rsid w:val="00395F36"/>
    <w:rPr>
      <w:sz w:val="22"/>
      <w:szCs w:val="22"/>
      <w:lang w:eastAsia="en-US"/>
    </w:rPr>
  </w:style>
  <w:style w:type="character" w:styleId="PiedepginaCar" w:customStyle="1">
    <w:name w:val="Pie de página Car"/>
    <w:basedOn w:val="Fuentedeprrafopredeter"/>
    <w:rsid w:val="00395F36"/>
    <w:rPr>
      <w:sz w:val="22"/>
      <w:szCs w:val="22"/>
      <w:lang w:eastAsia="en-US"/>
    </w:rPr>
  </w:style>
  <w:style w:type="character" w:styleId="apple-converted-space" w:customStyle="1">
    <w:name w:val="apple-converted-space"/>
    <w:basedOn w:val="Fuentedeprrafopredeter"/>
    <w:rsid w:val="00395F36"/>
  </w:style>
  <w:style w:type="character" w:styleId="EnlacedeInternet" w:customStyle="1">
    <w:name w:val="Enlace de Internet"/>
    <w:basedOn w:val="Fuentedeprrafopredeter"/>
    <w:rsid w:val="00395F36"/>
    <w:rPr>
      <w:color w:val="0000FF"/>
      <w:u w:val="single"/>
      <w:lang w:val="es-ES" w:eastAsia="es-ES" w:bidi="es-ES"/>
    </w:rPr>
  </w:style>
  <w:style w:type="character" w:styleId="TextoindependienteCar" w:customStyle="1">
    <w:name w:val="Texto independiente Car"/>
    <w:basedOn w:val="Fuentedeprrafopredeter"/>
    <w:rsid w:val="00395F36"/>
    <w:rPr>
      <w:rFonts w:ascii="Times New Roman" w:hAnsi="Times New Roman" w:eastAsia="Times New Roman"/>
      <w:sz w:val="24"/>
      <w:szCs w:val="24"/>
      <w:lang w:val="en-US" w:eastAsia="es-ES"/>
    </w:rPr>
  </w:style>
  <w:style w:type="character" w:styleId="Textoindependiente2Car" w:customStyle="1">
    <w:name w:val="Texto independiente 2 Car"/>
    <w:basedOn w:val="Fuentedeprrafopredeter"/>
    <w:rsid w:val="00395F36"/>
    <w:rPr>
      <w:sz w:val="22"/>
      <w:szCs w:val="22"/>
      <w:lang w:eastAsia="en-US"/>
    </w:rPr>
  </w:style>
  <w:style w:type="character" w:styleId="Ttulo3Car" w:customStyle="1">
    <w:name w:val="Título 3 Car"/>
    <w:basedOn w:val="Fuentedeprrafopredeter"/>
    <w:rsid w:val="00395F36"/>
    <w:rPr>
      <w:rFonts w:ascii="Cambria" w:hAnsi="Cambria" w:eastAsia="Times New Roman"/>
      <w:b/>
      <w:bCs/>
      <w:sz w:val="26"/>
      <w:szCs w:val="26"/>
      <w:lang w:eastAsia="en-US"/>
    </w:rPr>
  </w:style>
  <w:style w:type="character" w:styleId="style5" w:customStyle="1">
    <w:name w:val="style5"/>
    <w:basedOn w:val="Fuentedeprrafopredeter"/>
    <w:rsid w:val="00395F36"/>
  </w:style>
  <w:style w:type="character" w:styleId="ListLabel1" w:customStyle="1">
    <w:name w:val="ListLabel 1"/>
    <w:rsid w:val="00395F36"/>
    <w:rPr>
      <w:rFonts w:cs="Courier New"/>
    </w:rPr>
  </w:style>
  <w:style w:type="character" w:styleId="ListLabel2" w:customStyle="1">
    <w:name w:val="ListLabel 2"/>
    <w:rsid w:val="00395F36"/>
    <w:rPr>
      <w:sz w:val="20"/>
    </w:rPr>
  </w:style>
  <w:style w:type="character" w:styleId="WW8Num4z0" w:customStyle="1">
    <w:name w:val="WW8Num4z0"/>
    <w:rsid w:val="00395F36"/>
    <w:rPr>
      <w:rFonts w:ascii="Symbol" w:hAnsi="Symbol" w:cs="Symbol"/>
    </w:rPr>
  </w:style>
  <w:style w:type="character" w:styleId="WW8Num3z0" w:customStyle="1">
    <w:name w:val="WW8Num3z0"/>
    <w:rsid w:val="00395F36"/>
    <w:rPr>
      <w:rFonts w:ascii="Symbol" w:hAnsi="Symbol" w:cs="Symbol"/>
    </w:rPr>
  </w:style>
  <w:style w:type="character" w:styleId="Caracteresdenotaalpie" w:customStyle="1">
    <w:name w:val="Caracteres de nota al pie"/>
    <w:rsid w:val="00395F36"/>
    <w:rPr>
      <w:vertAlign w:val="superscript"/>
    </w:rPr>
  </w:style>
  <w:style w:type="character" w:styleId="Ancladenotaalpie" w:customStyle="1">
    <w:name w:val="Ancla de nota al pie"/>
    <w:rsid w:val="00395F36"/>
    <w:rPr>
      <w:vertAlign w:val="superscript"/>
    </w:rPr>
  </w:style>
  <w:style w:type="character" w:styleId="Ancladenotafinal" w:customStyle="1">
    <w:name w:val="Ancla de nota final"/>
    <w:rsid w:val="00395F36"/>
    <w:rPr>
      <w:vertAlign w:val="superscript"/>
    </w:rPr>
  </w:style>
  <w:style w:type="character" w:styleId="ListLabel3" w:customStyle="1">
    <w:name w:val="ListLabel 3"/>
    <w:rsid w:val="00395F36"/>
    <w:rPr>
      <w:rFonts w:cs="Symbol"/>
    </w:rPr>
  </w:style>
  <w:style w:type="character" w:styleId="ListLabel4" w:customStyle="1">
    <w:name w:val="ListLabel 4"/>
    <w:rsid w:val="00395F36"/>
    <w:rPr>
      <w:rFonts w:cs="Symbol"/>
    </w:rPr>
  </w:style>
  <w:style w:type="character" w:styleId="Vietas" w:customStyle="1">
    <w:name w:val="Viñetas"/>
    <w:rsid w:val="00395F36"/>
    <w:rPr>
      <w:rFonts w:ascii="OpenSymbol" w:hAnsi="OpenSymbol" w:eastAsia="OpenSymbol" w:cs="OpenSymbol"/>
    </w:rPr>
  </w:style>
  <w:style w:type="character" w:styleId="ListLabel5" w:customStyle="1">
    <w:name w:val="ListLabel 5"/>
    <w:rsid w:val="00395F36"/>
    <w:rPr>
      <w:rFonts w:cs="Symbol"/>
    </w:rPr>
  </w:style>
  <w:style w:type="character" w:styleId="ListLabel6" w:customStyle="1">
    <w:name w:val="ListLabel 6"/>
    <w:rsid w:val="00395F36"/>
    <w:rPr>
      <w:rFonts w:cs="Wingdings 2"/>
    </w:rPr>
  </w:style>
  <w:style w:type="character" w:styleId="ListLabel7" w:customStyle="1">
    <w:name w:val="ListLabel 7"/>
    <w:rsid w:val="00395F36"/>
    <w:rPr>
      <w:rFonts w:cs="OpenSymbol"/>
    </w:rPr>
  </w:style>
  <w:style w:type="character" w:styleId="ListLabel8" w:customStyle="1">
    <w:name w:val="ListLabel 8"/>
    <w:rsid w:val="00395F36"/>
    <w:rPr>
      <w:rFonts w:cs="Symbol"/>
    </w:rPr>
  </w:style>
  <w:style w:type="character" w:styleId="ListLabel9" w:customStyle="1">
    <w:name w:val="ListLabel 9"/>
    <w:rsid w:val="00395F36"/>
    <w:rPr>
      <w:rFonts w:cs="Wingdings 2"/>
    </w:rPr>
  </w:style>
  <w:style w:type="character" w:styleId="ListLabel10" w:customStyle="1">
    <w:name w:val="ListLabel 10"/>
    <w:rsid w:val="00395F36"/>
    <w:rPr>
      <w:rFonts w:cs="OpenSymbol"/>
    </w:rPr>
  </w:style>
  <w:style w:type="character" w:styleId="WW8Num7z0" w:customStyle="1">
    <w:name w:val="WW8Num7z0"/>
    <w:rsid w:val="00395F36"/>
    <w:rPr>
      <w:rFonts w:ascii="Symbol" w:hAnsi="Symbol" w:cs="Symbol"/>
      <w:color w:val="00000A"/>
    </w:rPr>
  </w:style>
  <w:style w:type="character" w:styleId="ListLabel11" w:customStyle="1">
    <w:name w:val="ListLabel 11"/>
    <w:rsid w:val="00395F36"/>
    <w:rPr>
      <w:rFonts w:cs="Symbol"/>
    </w:rPr>
  </w:style>
  <w:style w:type="character" w:styleId="ListLabel12" w:customStyle="1">
    <w:name w:val="ListLabel 12"/>
    <w:rsid w:val="00395F36"/>
    <w:rPr>
      <w:rFonts w:cs="Wingdings 2"/>
    </w:rPr>
  </w:style>
  <w:style w:type="character" w:styleId="ListLabel13" w:customStyle="1">
    <w:name w:val="ListLabel 13"/>
    <w:rsid w:val="00395F36"/>
    <w:rPr>
      <w:rFonts w:cs="OpenSymbol"/>
    </w:rPr>
  </w:style>
  <w:style w:type="character" w:styleId="ListLabel14" w:customStyle="1">
    <w:name w:val="ListLabel 14"/>
    <w:rsid w:val="00395F36"/>
    <w:rPr>
      <w:rFonts w:cs="Symbol"/>
      <w:color w:val="00000A"/>
    </w:rPr>
  </w:style>
  <w:style w:type="paragraph" w:styleId="Encabezado">
    <w:name w:val="header"/>
    <w:basedOn w:val="Predeterminado"/>
    <w:next w:val="Cuerpodetexto"/>
    <w:rsid w:val="00395F36"/>
    <w:pPr>
      <w:keepNext/>
      <w:spacing w:before="240" w:after="120"/>
    </w:pPr>
    <w:rPr>
      <w:rFonts w:ascii="Arial" w:hAnsi="Arial" w:eastAsia="Microsoft YaHei" w:cs="Mangal"/>
      <w:sz w:val="28"/>
      <w:szCs w:val="28"/>
    </w:rPr>
  </w:style>
  <w:style w:type="paragraph" w:styleId="Cuerpodetexto" w:customStyle="1">
    <w:name w:val="Cuerpo de texto"/>
    <w:basedOn w:val="Predeterminado"/>
    <w:rsid w:val="00395F36"/>
    <w:pPr>
      <w:spacing w:after="120" w:line="100" w:lineRule="atLeast"/>
    </w:pPr>
    <w:rPr>
      <w:rFonts w:ascii="Times New Roman" w:hAnsi="Times New Roman" w:eastAsia="Times New Roman"/>
      <w:lang w:val="en-US" w:eastAsia="es-ES"/>
    </w:rPr>
  </w:style>
  <w:style w:type="paragraph" w:styleId="Lista">
    <w:name w:val="List"/>
    <w:basedOn w:val="Cuerpodetexto"/>
    <w:rsid w:val="00395F36"/>
    <w:rPr>
      <w:rFonts w:cs="Mangal"/>
    </w:rPr>
  </w:style>
  <w:style w:type="paragraph" w:styleId="Etiqueta" w:customStyle="1">
    <w:name w:val="Etiqueta"/>
    <w:basedOn w:val="Predeterminado"/>
    <w:rsid w:val="00395F36"/>
    <w:pPr>
      <w:suppressLineNumbers/>
      <w:spacing w:before="120" w:after="120"/>
    </w:pPr>
    <w:rPr>
      <w:rFonts w:cs="Mangal"/>
      <w:i/>
      <w:iCs/>
    </w:rPr>
  </w:style>
  <w:style w:type="paragraph" w:styleId="ndice" w:customStyle="1">
    <w:name w:val="Índice"/>
    <w:basedOn w:val="Predeterminado"/>
    <w:rsid w:val="00395F36"/>
    <w:pPr>
      <w:suppressLineNumbers/>
    </w:pPr>
    <w:rPr>
      <w:rFonts w:cs="Mangal"/>
    </w:rPr>
  </w:style>
  <w:style w:type="paragraph" w:styleId="Textodeglobo">
    <w:name w:val="Balloon Text"/>
    <w:basedOn w:val="Predeterminado"/>
    <w:rsid w:val="00395F36"/>
    <w:pPr>
      <w:spacing w:after="0" w:line="100" w:lineRule="atLeast"/>
    </w:pPr>
    <w:rPr>
      <w:rFonts w:ascii="Tahoma" w:hAnsi="Tahoma" w:cs="Tahoma"/>
      <w:sz w:val="16"/>
      <w:szCs w:val="16"/>
    </w:rPr>
  </w:style>
  <w:style w:type="paragraph" w:styleId="Sinespaciado">
    <w:name w:val="No Spacing"/>
    <w:rsid w:val="00395F36"/>
    <w:pPr>
      <w:tabs>
        <w:tab w:val="left" w:pos="708"/>
      </w:tabs>
      <w:suppressAutoHyphens/>
    </w:pPr>
    <w:rPr>
      <w:rFonts w:ascii="Times New Roman" w:hAnsi="Times New Roman" w:eastAsia="SimSun" w:cs="Mangal"/>
      <w:color w:val="00000A"/>
      <w:lang w:eastAsia="en-US" w:bidi="hi-IN"/>
    </w:rPr>
  </w:style>
  <w:style w:type="paragraph" w:styleId="Encabezamiento" w:customStyle="1">
    <w:name w:val="Encabezamiento"/>
    <w:basedOn w:val="Predeterminado"/>
    <w:rsid w:val="00395F36"/>
    <w:pPr>
      <w:suppressLineNumbers/>
      <w:tabs>
        <w:tab w:val="center" w:pos="4419"/>
        <w:tab w:val="right" w:pos="8838"/>
      </w:tabs>
      <w:spacing w:after="0" w:line="100" w:lineRule="atLeast"/>
    </w:pPr>
  </w:style>
  <w:style w:type="paragraph" w:styleId="Piedepgina">
    <w:name w:val="footer"/>
    <w:basedOn w:val="Predeterminado"/>
    <w:rsid w:val="00395F36"/>
    <w:pPr>
      <w:suppressLineNumbers/>
      <w:tabs>
        <w:tab w:val="center" w:pos="4419"/>
        <w:tab w:val="right" w:pos="8838"/>
      </w:tabs>
      <w:spacing w:after="0" w:line="100" w:lineRule="atLeast"/>
    </w:pPr>
  </w:style>
  <w:style w:type="paragraph" w:styleId="Textoindependiente2">
    <w:name w:val="Body Text 2"/>
    <w:basedOn w:val="Predeterminado"/>
    <w:rsid w:val="00395F36"/>
    <w:pPr>
      <w:spacing w:after="120" w:line="480" w:lineRule="atLeast"/>
    </w:pPr>
  </w:style>
  <w:style w:type="paragraph" w:styleId="NormalWeb">
    <w:name w:val="Normal (Web)"/>
    <w:basedOn w:val="Predeterminado"/>
    <w:rsid w:val="00395F36"/>
    <w:pPr>
      <w:spacing w:before="28" w:after="28" w:line="100" w:lineRule="atLeast"/>
    </w:pPr>
    <w:rPr>
      <w:rFonts w:ascii="Times New Roman" w:hAnsi="Times New Roman" w:eastAsia="Times New Roman"/>
      <w:lang w:eastAsia="es-CO"/>
    </w:rPr>
  </w:style>
  <w:style w:type="paragraph" w:styleId="Notaalpie" w:customStyle="1">
    <w:name w:val="Nota al pie"/>
    <w:basedOn w:val="Predeterminado"/>
    <w:rsid w:val="00395F36"/>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repositorio.educacion.gov.ar:8080/dspace/bitstream/handle/123456789/96946/InvestigacionPCI.pdf?sequence=1" TargetMode="External" Id="rId8" /><Relationship Type="http://schemas.openxmlformats.org/officeDocument/2006/relationships/settings" Target="settings.xml" Id="rId3" /><Relationship Type="http://schemas.openxmlformats.org/officeDocument/2006/relationships/hyperlink" Target="http://bibliografia-alternativa.blogspot.com.ar/2010/04/biopolitica-del-genero.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bibliotecavirtual.clacso.org.ar/libros/teoria1/bellucci.rtf" TargetMode="External" Id="rId6" /><Relationship Type="http://schemas.openxmlformats.org/officeDocument/2006/relationships/theme" Target="theme/theme1.xml" Id="rId11" /><Relationship Type="http://schemas.openxmlformats.org/officeDocument/2006/relationships/image" Target="media/image1.wmf"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dx.doi.org/10.1590/S0104-026X2001000200012"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Alejandro</dc:creator>
  <lastModifiedBy>Cynthia Ethel Bustelo</lastModifiedBy>
  <revision>5</revision>
  <dcterms:created xsi:type="dcterms:W3CDTF">2020-09-03T04:33:00.0000000Z</dcterms:created>
  <dcterms:modified xsi:type="dcterms:W3CDTF">2022-10-25T14:53:17.7220493Z</dcterms:modified>
</coreProperties>
</file>