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="00734DC2" w:rsidRDefault="003420A0" w14:paraId="6AD7D72A" wp14:textId="77777777">
      <w:pPr>
        <w:spacing w:after="120" w:line="240" w:lineRule="auto"/>
        <w:jc w:val="center"/>
        <w:rPr>
          <w:rFonts w:ascii="Arial" w:hAnsi="Arial"/>
          <w:sz w:val="26"/>
          <w:szCs w:val="26"/>
        </w:rPr>
      </w:pPr>
      <w:bookmarkStart w:name="_GoBack" w:id="0"/>
      <w:bookmarkEnd w:id="0"/>
      <w:r>
        <w:rPr>
          <w:rFonts w:ascii="Arial" w:hAnsi="Arial" w:eastAsia="Times New Roman" w:cs="Times New Roman"/>
          <w:b/>
          <w:bCs/>
          <w:color w:val="000000"/>
          <w:sz w:val="26"/>
          <w:szCs w:val="26"/>
        </w:rPr>
        <w:t>Carrera de Especialización</w:t>
      </w:r>
    </w:p>
    <w:p xmlns:wp14="http://schemas.microsoft.com/office/word/2010/wordml" w:rsidR="00734DC2" w:rsidRDefault="003420A0" w14:paraId="2050565C" wp14:textId="77777777">
      <w:pPr>
        <w:spacing w:after="120" w:line="240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 w:eastAsia="Times New Roman" w:cs="Times New Roman"/>
          <w:b/>
          <w:bCs/>
          <w:color w:val="000000"/>
          <w:sz w:val="26"/>
          <w:szCs w:val="26"/>
        </w:rPr>
        <w:t>Pedagogías para la igualdad en contextos socioeducativos diversos</w:t>
      </w:r>
    </w:p>
    <w:p xmlns:wp14="http://schemas.microsoft.com/office/word/2010/wordml" w:rsidR="00734DC2" w:rsidRDefault="00734DC2" w14:paraId="672A6659" wp14:textId="77777777">
      <w:pPr>
        <w:spacing w:after="120" w:line="240" w:lineRule="auto"/>
        <w:jc w:val="center"/>
        <w:rPr>
          <w:rFonts w:eastAsia="Times New Roman" w:cs="Times New Roman"/>
          <w:b/>
          <w:bCs/>
          <w:color w:val="000000"/>
        </w:rPr>
      </w:pPr>
    </w:p>
    <w:p xmlns:wp14="http://schemas.microsoft.com/office/word/2010/wordml" w:rsidR="00734DC2" w:rsidRDefault="003420A0" w14:paraId="5791F0B4" wp14:textId="77777777">
      <w:pPr>
        <w:spacing w:after="12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eastAsia="Times New Roman" w:cs="Times New Roman"/>
          <w:b/>
          <w:bCs/>
          <w:color w:val="000000"/>
          <w:sz w:val="24"/>
          <w:szCs w:val="24"/>
        </w:rPr>
        <w:t>Seminario Taller: Diseño y evaluación de Proyectos</w:t>
      </w:r>
    </w:p>
    <w:p xmlns:wp14="http://schemas.microsoft.com/office/word/2010/wordml" w:rsidR="00734DC2" w:rsidRDefault="00734DC2" w14:paraId="0A37501D" wp14:textId="77777777">
      <w:pPr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xmlns:wp14="http://schemas.microsoft.com/office/word/2010/wordml" w:rsidR="00734DC2" w:rsidP="1856B98D" w:rsidRDefault="003420A0" w14:paraId="6D835CC8" wp14:textId="273BF27A">
      <w:pPr>
        <w:spacing w:after="120" w:line="240" w:lineRule="auto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1856B98D" w:rsidR="003420A0"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Prof. a cargo: Alejandra Birgin, Nicolás Resnik, Agustín Ingratta</w:t>
      </w:r>
    </w:p>
    <w:p xmlns:wp14="http://schemas.microsoft.com/office/word/2010/wordml" w:rsidR="00734DC2" w:rsidRDefault="003420A0" w14:paraId="0AB2023B" wp14:textId="78B4AA32">
      <w:pPr>
        <w:spacing w:after="120" w:line="240" w:lineRule="auto"/>
      </w:pPr>
      <w:r w:rsidRPr="53EC6283" w:rsidR="003420A0"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Curso lectivo 202</w:t>
      </w:r>
      <w:r w:rsidRPr="53EC6283" w:rsidR="53508868"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3</w:t>
      </w:r>
    </w:p>
    <w:p xmlns:wp14="http://schemas.microsoft.com/office/word/2010/wordml" w:rsidR="00734DC2" w:rsidRDefault="00734DC2" w14:paraId="5DAB6C7B" wp14:textId="77777777">
      <w:pPr>
        <w:spacing w:after="240" w:line="240" w:lineRule="auto"/>
        <w:rPr>
          <w:rFonts w:ascii="Arial" w:hAnsi="Arial" w:eastAsia="Times New Roman" w:cs="Times New Roman"/>
          <w:sz w:val="24"/>
          <w:szCs w:val="24"/>
        </w:rPr>
      </w:pPr>
    </w:p>
    <w:p xmlns:wp14="http://schemas.microsoft.com/office/word/2010/wordml" w:rsidR="00734DC2" w:rsidRDefault="003420A0" w14:paraId="5D24FBC9" wp14:textId="77777777">
      <w:pPr>
        <w:numPr>
          <w:ilvl w:val="0"/>
          <w:numId w:val="1"/>
        </w:numPr>
        <w:spacing w:after="120" w:line="240" w:lineRule="auto"/>
        <w:textAlignment w:val="baseline"/>
        <w:rPr>
          <w:rFonts w:ascii="Calibri" w:hAnsi="Calibri" w:eastAsia="Times New Roman" w:cs="Times New Roman"/>
          <w:color w:val="000000"/>
          <w:sz w:val="24"/>
          <w:szCs w:val="24"/>
        </w:rPr>
      </w:pPr>
      <w:r>
        <w:rPr>
          <w:rFonts w:ascii="Arial" w:hAnsi="Arial" w:eastAsia="Times New Roman" w:cs="Times New Roman"/>
          <w:b/>
          <w:bCs/>
          <w:color w:val="000000"/>
          <w:sz w:val="24"/>
          <w:szCs w:val="24"/>
        </w:rPr>
        <w:t>Fundamentación</w:t>
      </w:r>
    </w:p>
    <w:p xmlns:wp14="http://schemas.microsoft.com/office/word/2010/wordml" w:rsidR="00734DC2" w:rsidRDefault="003420A0" w14:paraId="2CA60B6F" wp14:textId="77777777">
      <w:pPr>
        <w:spacing w:after="120" w:line="290" w:lineRule="auto"/>
        <w:jc w:val="both"/>
      </w:pPr>
      <w:r>
        <w:rPr>
          <w:rFonts w:ascii="Arial" w:hAnsi="Arial" w:eastAsia="Times New Roman" w:cs="Times New Roman"/>
          <w:color w:val="000000"/>
          <w:sz w:val="24"/>
          <w:szCs w:val="24"/>
        </w:rPr>
        <w:t xml:space="preserve">La propuesta académica de la Carrera de Especialización en </w:t>
      </w:r>
      <w:r>
        <w:rPr>
          <w:rFonts w:ascii="Arial" w:hAnsi="Arial" w:eastAsia="Times New Roman" w:cs="Times New Roman"/>
          <w:i/>
          <w:iCs/>
          <w:color w:val="000000"/>
          <w:sz w:val="24"/>
          <w:szCs w:val="24"/>
        </w:rPr>
        <w:t xml:space="preserve">Pedagogías para la igualdad en contextos socioeducativos diversos </w:t>
      </w:r>
      <w:r>
        <w:rPr>
          <w:rFonts w:ascii="Arial" w:hAnsi="Arial" w:eastAsia="Times New Roman" w:cs="Times New Roman"/>
          <w:color w:val="000000"/>
          <w:sz w:val="24"/>
          <w:szCs w:val="24"/>
        </w:rPr>
        <w:t>incluye un seminario taller de “Diseño y evaluación de proyectos”</w:t>
      </w:r>
      <w:r>
        <w:rPr>
          <w:rFonts w:ascii="Arial" w:hAnsi="Arial" w:eastAsia="Times New Roman" w:cs="Times New Roman"/>
          <w:color w:val="000000"/>
          <w:sz w:val="24"/>
          <w:szCs w:val="24"/>
        </w:rPr>
        <w:t xml:space="preserve"> orientado a la formulación de políticas, programas y proyectos en</w:t>
      </w:r>
      <w:r>
        <w:rPr>
          <w:rFonts w:ascii="Arial" w:hAnsi="Arial" w:eastAsia="Times New Roman" w:cs="Times New Roman"/>
          <w:color w:val="000000"/>
          <w:sz w:val="24"/>
          <w:szCs w:val="24"/>
        </w:rPr>
        <w:t xml:space="preserve"> instituciones y organizaciones educativas, sociales y comunitarias. Este </w:t>
      </w:r>
      <w:r>
        <w:rPr>
          <w:rFonts w:ascii="Arial" w:hAnsi="Arial" w:eastAsia="Times New Roman" w:cs="Times New Roman"/>
          <w:color w:val="000000"/>
          <w:sz w:val="24"/>
          <w:szCs w:val="24"/>
        </w:rPr>
        <w:t xml:space="preserve">constituye un aporte central a la formación de los futuros especialistas cuyo perfil está focalizado en el campo de intervención. </w:t>
      </w:r>
    </w:p>
    <w:p xmlns:wp14="http://schemas.microsoft.com/office/word/2010/wordml" w:rsidR="00734DC2" w:rsidRDefault="003420A0" w14:paraId="036BE3E8" wp14:textId="77777777">
      <w:pPr>
        <w:spacing w:after="120" w:line="290" w:lineRule="auto"/>
        <w:jc w:val="both"/>
      </w:pPr>
      <w:r>
        <w:rPr>
          <w:rFonts w:ascii="Arial" w:hAnsi="Arial" w:eastAsia="Times New Roman" w:cs="Times New Roman"/>
          <w:color w:val="000000"/>
          <w:sz w:val="24"/>
          <w:szCs w:val="24"/>
        </w:rPr>
        <w:t>El seminario presenta tres unidades temáticas que p</w:t>
      </w:r>
      <w:r>
        <w:rPr>
          <w:rFonts w:ascii="Arial" w:hAnsi="Arial" w:eastAsia="Times New Roman" w:cs="Times New Roman"/>
          <w:color w:val="000000"/>
          <w:sz w:val="24"/>
          <w:szCs w:val="24"/>
        </w:rPr>
        <w:t>retenden: i- contextualizar el abordaje de trabajo por proyectos en el marco de la planificación, ii- analizar el diseño  de proyectos tanto desde la perspectiva tecnocrática como herramientas de gestión a corto plazo y a demanda, como desde las concepcion</w:t>
      </w:r>
      <w:r>
        <w:rPr>
          <w:rFonts w:ascii="Arial" w:hAnsi="Arial" w:eastAsia="Times New Roman" w:cs="Times New Roman"/>
          <w:color w:val="000000"/>
          <w:sz w:val="24"/>
          <w:szCs w:val="24"/>
        </w:rPr>
        <w:t>es críticas, iii- abordar diferentes enfoques del diseño y evaluación de proyectos y sus componentes: la construcción de problemas y sus ámbitos de intervención, la definición de propósitos y líneas de acción, la determinación de recursos, y las concepcion</w:t>
      </w:r>
      <w:r>
        <w:rPr>
          <w:rFonts w:ascii="Arial" w:hAnsi="Arial" w:eastAsia="Times New Roman" w:cs="Times New Roman"/>
          <w:color w:val="000000"/>
          <w:sz w:val="24"/>
          <w:szCs w:val="24"/>
        </w:rPr>
        <w:t>es, criterios e instrumentos de evaluación de los mismos.</w:t>
      </w:r>
    </w:p>
    <w:p xmlns:wp14="http://schemas.microsoft.com/office/word/2010/wordml" w:rsidR="00734DC2" w:rsidRDefault="00734DC2" w14:paraId="02EB378F" wp14:textId="77777777">
      <w:pPr>
        <w:spacing w:after="120" w:line="290" w:lineRule="auto"/>
        <w:jc w:val="both"/>
        <w:rPr>
          <w:rFonts w:eastAsia="Times New Roman" w:cs="Times New Roman"/>
          <w:color w:val="000000"/>
        </w:rPr>
      </w:pPr>
    </w:p>
    <w:p xmlns:wp14="http://schemas.microsoft.com/office/word/2010/wordml" w:rsidR="00734DC2" w:rsidRDefault="003420A0" w14:paraId="5810AA35" wp14:textId="77777777">
      <w:pPr>
        <w:numPr>
          <w:ilvl w:val="0"/>
          <w:numId w:val="2"/>
        </w:numPr>
        <w:spacing w:after="120" w:line="240" w:lineRule="auto"/>
        <w:jc w:val="both"/>
        <w:textAlignment w:val="baseline"/>
      </w:pPr>
      <w:r>
        <w:rPr>
          <w:rFonts w:ascii="Arial" w:hAnsi="Arial" w:eastAsia="Times New Roman" w:cs="Times New Roman"/>
          <w:b/>
          <w:bCs/>
          <w:color w:val="000000"/>
          <w:sz w:val="24"/>
          <w:szCs w:val="24"/>
        </w:rPr>
        <w:t>Objetivos:</w:t>
      </w:r>
    </w:p>
    <w:p xmlns:wp14="http://schemas.microsoft.com/office/word/2010/wordml" w:rsidR="00734DC2" w:rsidRDefault="003420A0" w14:paraId="0D2BFCA7" wp14:textId="77777777">
      <w:pPr>
        <w:spacing w:after="0" w:line="240" w:lineRule="auto"/>
        <w:jc w:val="both"/>
        <w:textAlignment w:val="baseline"/>
      </w:pPr>
      <w:r>
        <w:rPr>
          <w:rFonts w:ascii="Arial" w:hAnsi="Arial" w:eastAsia="Times New Roman" w:cs="Times New Roman"/>
          <w:color w:val="000000"/>
          <w:sz w:val="24"/>
          <w:szCs w:val="24"/>
        </w:rPr>
        <w:t xml:space="preserve">Examinar el abordaje de trabajo por proyectos en el marco de la planificación y su contexto de surgimiento. </w:t>
      </w:r>
    </w:p>
    <w:p xmlns:wp14="http://schemas.microsoft.com/office/word/2010/wordml" w:rsidR="00734DC2" w:rsidRDefault="00734DC2" w14:paraId="6A05A809" wp14:textId="77777777">
      <w:pPr>
        <w:spacing w:after="0" w:line="240" w:lineRule="auto"/>
        <w:ind w:left="720"/>
        <w:jc w:val="both"/>
        <w:textAlignment w:val="baseline"/>
        <w:rPr>
          <w:rFonts w:eastAsia="Times New Roman" w:cs="Times New Roman"/>
          <w:color w:val="000000"/>
        </w:rPr>
      </w:pPr>
    </w:p>
    <w:p xmlns:wp14="http://schemas.microsoft.com/office/word/2010/wordml" w:rsidR="00734DC2" w:rsidRDefault="003420A0" w14:paraId="47F34D46" wp14:textId="77777777">
      <w:pPr>
        <w:spacing w:after="0" w:line="240" w:lineRule="auto"/>
        <w:jc w:val="both"/>
        <w:textAlignment w:val="baseline"/>
      </w:pPr>
      <w:r>
        <w:rPr>
          <w:rFonts w:ascii="Arial" w:hAnsi="Arial" w:eastAsia="Times New Roman" w:cs="Times New Roman"/>
          <w:color w:val="000000"/>
          <w:sz w:val="24"/>
          <w:szCs w:val="24"/>
        </w:rPr>
        <w:t xml:space="preserve">Analizar los enfoques actuales sobre diseño y evaluación de proyectos </w:t>
      </w:r>
      <w:r>
        <w:rPr>
          <w:rFonts w:ascii="Arial" w:hAnsi="Arial" w:eastAsia="Times New Roman" w:cs="Times New Roman"/>
          <w:color w:val="000000"/>
          <w:sz w:val="24"/>
          <w:szCs w:val="24"/>
        </w:rPr>
        <w:t>socioeducativos y sus sentidos políticos.</w:t>
      </w:r>
    </w:p>
    <w:p xmlns:wp14="http://schemas.microsoft.com/office/word/2010/wordml" w:rsidR="00734DC2" w:rsidRDefault="00734DC2" w14:paraId="5A39BBE3" wp14:textId="77777777">
      <w:pPr>
        <w:spacing w:after="0" w:line="240" w:lineRule="auto"/>
        <w:ind w:left="720"/>
        <w:jc w:val="both"/>
        <w:textAlignment w:val="baseline"/>
        <w:rPr>
          <w:rFonts w:eastAsia="Times New Roman" w:cs="Times New Roman"/>
          <w:color w:val="000000"/>
        </w:rPr>
      </w:pPr>
    </w:p>
    <w:p xmlns:wp14="http://schemas.microsoft.com/office/word/2010/wordml" w:rsidR="00734DC2" w:rsidRDefault="003420A0" w14:paraId="7E174855" wp14:textId="77777777">
      <w:pPr>
        <w:spacing w:after="0" w:line="240" w:lineRule="auto"/>
        <w:jc w:val="both"/>
        <w:textAlignment w:val="baseline"/>
      </w:pPr>
      <w:r>
        <w:rPr>
          <w:rFonts w:ascii="Arial" w:hAnsi="Arial" w:eastAsia="Times New Roman" w:cs="Times New Roman"/>
          <w:color w:val="000000"/>
          <w:sz w:val="24"/>
          <w:szCs w:val="24"/>
        </w:rPr>
        <w:t xml:space="preserve">Conocer herramientas metodológicas para la formulación, implementación y evaluación de políticas, programas y proyectos en instituciones y en </w:t>
      </w:r>
      <w:r>
        <w:rPr>
          <w:rFonts w:ascii="Arial" w:hAnsi="Arial" w:eastAsia="Times New Roman" w:cs="Times New Roman"/>
          <w:color w:val="000000"/>
          <w:sz w:val="24"/>
          <w:szCs w:val="24"/>
        </w:rPr>
        <w:t xml:space="preserve">organizaciones sociales. </w:t>
      </w:r>
    </w:p>
    <w:p xmlns:wp14="http://schemas.microsoft.com/office/word/2010/wordml" w:rsidR="00734DC2" w:rsidRDefault="00734DC2" w14:paraId="41C8F396" wp14:textId="77777777">
      <w:pPr>
        <w:spacing w:after="0" w:line="240" w:lineRule="auto"/>
        <w:ind w:left="720"/>
        <w:jc w:val="both"/>
        <w:textAlignment w:val="baseline"/>
        <w:rPr>
          <w:rFonts w:eastAsia="Times New Roman" w:cs="Times New Roman"/>
          <w:color w:val="000000"/>
        </w:rPr>
      </w:pPr>
    </w:p>
    <w:p xmlns:wp14="http://schemas.microsoft.com/office/word/2010/wordml" w:rsidR="00734DC2" w:rsidRDefault="003420A0" w14:paraId="205A44C3" wp14:textId="77777777">
      <w:pPr>
        <w:spacing w:after="0" w:line="240" w:lineRule="auto"/>
        <w:jc w:val="both"/>
        <w:textAlignment w:val="baseline"/>
      </w:pPr>
      <w:r>
        <w:rPr>
          <w:rFonts w:ascii="Arial" w:hAnsi="Arial" w:eastAsia="Times New Roman" w:cs="Times New Roman"/>
          <w:color w:val="000000"/>
          <w:sz w:val="24"/>
          <w:szCs w:val="24"/>
        </w:rPr>
        <w:t>Interpretar la relación entre los propósitos</w:t>
      </w:r>
      <w:r>
        <w:rPr>
          <w:rFonts w:ascii="Arial" w:hAnsi="Arial" w:eastAsia="Times New Roman" w:cs="Times New Roman"/>
          <w:color w:val="000000"/>
          <w:sz w:val="24"/>
          <w:szCs w:val="24"/>
        </w:rPr>
        <w:t xml:space="preserve"> político-pedagógicos y los aspectos metodológicos en el desarrollo de políticas, programas y proyectos.</w:t>
      </w:r>
    </w:p>
    <w:p xmlns:wp14="http://schemas.microsoft.com/office/word/2010/wordml" w:rsidR="00734DC2" w:rsidRDefault="00734DC2" w14:paraId="72A3D3EC" wp14:textId="77777777">
      <w:pPr>
        <w:spacing w:after="0" w:line="240" w:lineRule="auto"/>
        <w:ind w:left="720"/>
        <w:jc w:val="both"/>
        <w:textAlignment w:val="baseline"/>
        <w:rPr>
          <w:rFonts w:ascii="Arial" w:hAnsi="Arial" w:eastAsia="Times New Roman" w:cs="Times New Roman"/>
          <w:sz w:val="24"/>
          <w:szCs w:val="24"/>
        </w:rPr>
      </w:pPr>
    </w:p>
    <w:p xmlns:wp14="http://schemas.microsoft.com/office/word/2010/wordml" w:rsidR="00734DC2" w:rsidRDefault="00734DC2" w14:paraId="0D0B940D" wp14:textId="77777777">
      <w:pPr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xmlns:wp14="http://schemas.microsoft.com/office/word/2010/wordml" w:rsidR="00734DC2" w:rsidRDefault="003420A0" w14:paraId="2139CF09" wp14:textId="77777777">
      <w:pPr>
        <w:numPr>
          <w:ilvl w:val="0"/>
          <w:numId w:val="3"/>
        </w:numPr>
        <w:spacing w:after="120" w:line="240" w:lineRule="auto"/>
        <w:textAlignment w:val="baseline"/>
        <w:rPr>
          <w:rFonts w:ascii="Calibri" w:hAnsi="Calibri" w:eastAsia="Times New Roman" w:cs="Times New Roman"/>
          <w:color w:val="000000"/>
          <w:sz w:val="24"/>
          <w:szCs w:val="24"/>
        </w:rPr>
      </w:pPr>
      <w:r>
        <w:rPr>
          <w:rFonts w:ascii="Arial" w:hAnsi="Arial" w:eastAsia="Times New Roman" w:cs="Times New Roman"/>
          <w:b/>
          <w:bCs/>
          <w:color w:val="000000"/>
          <w:sz w:val="24"/>
          <w:szCs w:val="24"/>
        </w:rPr>
        <w:lastRenderedPageBreak/>
        <w:t>Contenidos:</w:t>
      </w:r>
    </w:p>
    <w:p xmlns:wp14="http://schemas.microsoft.com/office/word/2010/wordml" w:rsidR="00734DC2" w:rsidRDefault="003420A0" w14:paraId="7067C816" wp14:textId="77777777">
      <w:pPr>
        <w:spacing w:after="12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Arial" w:hAnsi="Arial" w:eastAsia="Times New Roman" w:cs="Times New Roman"/>
          <w:color w:val="000000"/>
          <w:sz w:val="24"/>
          <w:szCs w:val="24"/>
          <w:u w:val="single"/>
        </w:rPr>
        <w:t>Unidad temática 1</w:t>
      </w:r>
    </w:p>
    <w:p xmlns:wp14="http://schemas.microsoft.com/office/word/2010/wordml" w:rsidR="00734DC2" w:rsidRDefault="003420A0" w14:paraId="6870AB10" wp14:textId="77777777">
      <w:pPr>
        <w:spacing w:after="120" w:line="240" w:lineRule="auto"/>
        <w:jc w:val="both"/>
      </w:pPr>
      <w:r>
        <w:rPr>
          <w:rFonts w:ascii="Arial" w:hAnsi="Arial" w:eastAsia="Times New Roman" w:cs="Times New Roman"/>
          <w:color w:val="000000"/>
          <w:sz w:val="24"/>
          <w:szCs w:val="24"/>
        </w:rPr>
        <w:t>Desarrollismo y planificación. La perspectiva tecnocrática y sus efectos en el ámbito de la educación. Programas y proy</w:t>
      </w:r>
      <w:r>
        <w:rPr>
          <w:rFonts w:ascii="Arial" w:hAnsi="Arial" w:eastAsia="Times New Roman" w:cs="Times New Roman"/>
          <w:color w:val="000000"/>
          <w:sz w:val="24"/>
          <w:szCs w:val="24"/>
        </w:rPr>
        <w:t>ectos como herramienta de intervención educativa.</w:t>
      </w:r>
    </w:p>
    <w:p xmlns:wp14="http://schemas.microsoft.com/office/word/2010/wordml" w:rsidR="00734DC2" w:rsidRDefault="00734DC2" w14:paraId="0E27B00A" wp14:textId="77777777">
      <w:pPr>
        <w:spacing w:after="120" w:line="240" w:lineRule="auto"/>
        <w:jc w:val="both"/>
        <w:rPr>
          <w:rFonts w:ascii="Arial" w:hAnsi="Arial" w:eastAsia="Times New Roman" w:cs="Times New Roman"/>
          <w:color w:val="000000"/>
          <w:sz w:val="24"/>
          <w:szCs w:val="24"/>
          <w:u w:val="single"/>
        </w:rPr>
      </w:pPr>
    </w:p>
    <w:p xmlns:wp14="http://schemas.microsoft.com/office/word/2010/wordml" w:rsidR="00734DC2" w:rsidRDefault="003420A0" w14:paraId="2076AC1E" wp14:textId="77777777">
      <w:pPr>
        <w:spacing w:after="12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Arial" w:hAnsi="Arial" w:eastAsia="Times New Roman" w:cs="Times New Roman"/>
          <w:color w:val="000000"/>
          <w:sz w:val="24"/>
          <w:szCs w:val="24"/>
          <w:u w:val="single"/>
        </w:rPr>
        <w:t>Unidad temática 2</w:t>
      </w:r>
    </w:p>
    <w:p xmlns:wp14="http://schemas.microsoft.com/office/word/2010/wordml" w:rsidR="00734DC2" w:rsidRDefault="003420A0" w14:paraId="6146EF20" wp14:textId="77777777">
      <w:pPr>
        <w:spacing w:after="120" w:line="240" w:lineRule="auto"/>
        <w:jc w:val="both"/>
      </w:pPr>
      <w:r>
        <w:rPr>
          <w:rFonts w:ascii="Arial" w:hAnsi="Arial" w:eastAsia="Times New Roman" w:cs="Times New Roman"/>
          <w:color w:val="000000"/>
          <w:sz w:val="24"/>
          <w:szCs w:val="24"/>
        </w:rPr>
        <w:t>El diagnóstico como momento de construcción del objeto de intervención. La metodología en el diagnóstico. Identificación de necesidades y problemas. Análisis de actores involucrados y con</w:t>
      </w:r>
      <w:r>
        <w:rPr>
          <w:rFonts w:ascii="Arial" w:hAnsi="Arial" w:eastAsia="Times New Roman" w:cs="Times New Roman"/>
          <w:color w:val="000000"/>
          <w:sz w:val="24"/>
          <w:szCs w:val="24"/>
        </w:rPr>
        <w:t xml:space="preserve">flicto de intereses. Planteo de alternativas. Análisis de viabilidad (ética, política, legal, socio-cultural, financiera, de gestión).    </w:t>
      </w:r>
    </w:p>
    <w:p xmlns:wp14="http://schemas.microsoft.com/office/word/2010/wordml" w:rsidR="00734DC2" w:rsidRDefault="00734DC2" w14:paraId="60061E4C" wp14:textId="77777777">
      <w:pPr>
        <w:spacing w:after="120" w:line="240" w:lineRule="auto"/>
        <w:jc w:val="both"/>
        <w:rPr>
          <w:rFonts w:ascii="Arial" w:hAnsi="Arial" w:eastAsia="Times New Roman" w:cs="Times New Roman"/>
          <w:color w:val="000000"/>
          <w:sz w:val="24"/>
          <w:szCs w:val="24"/>
          <w:u w:val="single"/>
        </w:rPr>
      </w:pPr>
    </w:p>
    <w:p xmlns:wp14="http://schemas.microsoft.com/office/word/2010/wordml" w:rsidR="00734DC2" w:rsidRDefault="003420A0" w14:paraId="29496DA5" wp14:textId="77777777">
      <w:pPr>
        <w:spacing w:after="120" w:line="240" w:lineRule="auto"/>
        <w:jc w:val="both"/>
        <w:rPr>
          <w:u w:val="single"/>
        </w:rPr>
      </w:pPr>
      <w:r>
        <w:rPr>
          <w:rFonts w:ascii="Arial" w:hAnsi="Arial" w:eastAsia="Times New Roman" w:cs="Times New Roman"/>
          <w:color w:val="000000"/>
          <w:sz w:val="24"/>
          <w:szCs w:val="24"/>
          <w:u w:val="single"/>
        </w:rPr>
        <w:t>Unidad temática 3</w:t>
      </w:r>
    </w:p>
    <w:p xmlns:wp14="http://schemas.microsoft.com/office/word/2010/wordml" w:rsidR="00734DC2" w:rsidRDefault="003420A0" w14:paraId="39B30C74" wp14:textId="77777777">
      <w:pPr>
        <w:spacing w:after="120" w:line="240" w:lineRule="auto"/>
        <w:jc w:val="both"/>
      </w:pPr>
      <w:r>
        <w:rPr>
          <w:rFonts w:ascii="Arial" w:hAnsi="Arial" w:eastAsia="Times New Roman" w:cs="Times New Roman"/>
          <w:color w:val="000000"/>
          <w:sz w:val="24"/>
          <w:szCs w:val="24"/>
        </w:rPr>
        <w:t>Perspectivas en la formulación de proyectos socioeducativos. Construcción de problemas y ámbitos d</w:t>
      </w:r>
      <w:r>
        <w:rPr>
          <w:rFonts w:ascii="Arial" w:hAnsi="Arial" w:eastAsia="Times New Roman" w:cs="Times New Roman"/>
          <w:color w:val="000000"/>
          <w:sz w:val="24"/>
          <w:szCs w:val="24"/>
        </w:rPr>
        <w:t>e intervención. Definición de propósitos y objetivos. Determinación de recursos y líneas de acción. Análisis de los recursos y elaboración del presupuesto. Construcción del plan de trabajo y cronograma. Formulación de criterios y metodologías de evaluación</w:t>
      </w:r>
      <w:r>
        <w:rPr>
          <w:rFonts w:ascii="Arial" w:hAnsi="Arial" w:eastAsia="Times New Roman" w:cs="Times New Roman"/>
          <w:color w:val="000000"/>
          <w:sz w:val="24"/>
          <w:szCs w:val="24"/>
        </w:rPr>
        <w:t xml:space="preserve">. </w:t>
      </w:r>
    </w:p>
    <w:p xmlns:wp14="http://schemas.microsoft.com/office/word/2010/wordml" w:rsidR="00734DC2" w:rsidRDefault="00734DC2" w14:paraId="44EAFD9C" wp14:textId="77777777">
      <w:pPr>
        <w:spacing w:after="120" w:line="240" w:lineRule="auto"/>
        <w:jc w:val="both"/>
        <w:rPr>
          <w:rFonts w:ascii="Arial" w:hAnsi="Arial" w:eastAsia="Times New Roman" w:cs="Times New Roman"/>
          <w:sz w:val="24"/>
          <w:szCs w:val="24"/>
        </w:rPr>
      </w:pPr>
    </w:p>
    <w:p xmlns:wp14="http://schemas.microsoft.com/office/word/2010/wordml" w:rsidR="00734DC2" w:rsidRDefault="00734DC2" w14:paraId="4B94D5A5" wp14:textId="77777777">
      <w:pPr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xmlns:wp14="http://schemas.microsoft.com/office/word/2010/wordml" w:rsidR="00734DC2" w:rsidRDefault="003420A0" w14:paraId="5C15C73A" wp14:textId="77777777">
      <w:pPr>
        <w:numPr>
          <w:ilvl w:val="0"/>
          <w:numId w:val="4"/>
        </w:numPr>
        <w:spacing w:after="120" w:line="240" w:lineRule="auto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 w:eastAsia="Times New Roman" w:cs="Times New Roman"/>
          <w:b/>
          <w:bCs/>
          <w:color w:val="000000"/>
          <w:sz w:val="24"/>
          <w:szCs w:val="24"/>
        </w:rPr>
        <w:t>Actividades</w:t>
      </w:r>
    </w:p>
    <w:p xmlns:wp14="http://schemas.microsoft.com/office/word/2010/wordml" w:rsidR="00734DC2" w:rsidRDefault="003420A0" w14:paraId="4F75BED9" wp14:textId="77777777">
      <w:pPr>
        <w:spacing w:after="120" w:line="240" w:lineRule="auto"/>
        <w:jc w:val="both"/>
      </w:pPr>
      <w:r>
        <w:rPr>
          <w:rFonts w:ascii="Arial" w:hAnsi="Arial" w:eastAsia="Times New Roman" w:cs="Times New Roman"/>
          <w:color w:val="000000"/>
          <w:sz w:val="24"/>
          <w:szCs w:val="24"/>
        </w:rPr>
        <w:t xml:space="preserve">El seminario incluye clases teóricas en torno a las cuestiones metodológicas del diseño de políticas, programas y proyectos llevados a cabo, así como instancias de trabajo grupal en la producción de proyectos pedagógicos de acuerdo a </w:t>
      </w:r>
      <w:r>
        <w:rPr>
          <w:rFonts w:ascii="Arial" w:hAnsi="Arial" w:eastAsia="Times New Roman" w:cs="Times New Roman"/>
          <w:color w:val="000000"/>
          <w:sz w:val="24"/>
          <w:szCs w:val="24"/>
        </w:rPr>
        <w:t>especificaciones establecidas.</w:t>
      </w:r>
    </w:p>
    <w:p xmlns:wp14="http://schemas.microsoft.com/office/word/2010/wordml" w:rsidR="00734DC2" w:rsidRDefault="003420A0" w14:paraId="48F3F99D" wp14:textId="77777777">
      <w:pPr>
        <w:spacing w:after="120" w:line="240" w:lineRule="auto"/>
        <w:jc w:val="both"/>
      </w:pPr>
      <w:r>
        <w:rPr>
          <w:rFonts w:ascii="Arial" w:hAnsi="Arial" w:eastAsia="Times New Roman" w:cs="Times New Roman"/>
          <w:color w:val="000000"/>
          <w:sz w:val="24"/>
          <w:szCs w:val="24"/>
        </w:rPr>
        <w:t xml:space="preserve">Asimismo, incluye la participación, a modo de invitadas/os, de especialistas que han  formulado, implementado y monitoreado programas en las áreas de las orientaciones contempladas en la Especialización. </w:t>
      </w:r>
    </w:p>
    <w:p xmlns:wp14="http://schemas.microsoft.com/office/word/2010/wordml" w:rsidR="00734DC2" w:rsidRDefault="003420A0" w14:paraId="664A6174" wp14:textId="77777777">
      <w:pPr>
        <w:spacing w:after="0" w:line="240" w:lineRule="auto"/>
        <w:textAlignment w:val="baseline"/>
        <w:rPr>
          <w:rFonts w:ascii="Arial" w:hAnsi="Arial" w:eastAsia="Times New Roman" w:cs="Times New Roman"/>
          <w:b/>
          <w:bCs/>
          <w:color w:val="000000"/>
          <w:sz w:val="12"/>
          <w:szCs w:val="12"/>
        </w:rPr>
      </w:pPr>
      <w:r>
        <w:rPr>
          <w:rFonts w:ascii="Arial" w:hAnsi="Arial" w:eastAsia="Times New Roman" w:cs="Times New Roman"/>
          <w:b/>
          <w:bCs/>
          <w:noProof/>
          <w:color w:val="000000"/>
          <w:sz w:val="12"/>
          <w:szCs w:val="12"/>
          <w:lang w:val="en-US" w:eastAsia="en-US"/>
        </w:rPr>
        <mc:AlternateContent>
          <mc:Choice Requires="wps">
            <w:drawing>
              <wp:anchor xmlns:wp14="http://schemas.microsoft.com/office/word/2010/wordprocessingDrawing" distT="0" distB="47625" distL="0" distR="0" simplePos="0" relativeHeight="2" behindDoc="0" locked="0" layoutInCell="1" allowOverlap="1" wp14:anchorId="6AD22EE4" wp14:editId="7777777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5916930" cy="382905"/>
                <wp:effectExtent l="0" t="0" r="0" b="0"/>
                <wp:wrapSquare wrapText="largest"/>
                <wp:docPr id="1" name="Marc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6240" cy="3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xmlns:wp14="http://schemas.microsoft.com/office/word/2010/wordml" w:rsidR="00734DC2" w:rsidRDefault="00734DC2" w14:paraId="3DEEC669" wp14:textId="77777777">
                            <w:pPr>
                              <w:pStyle w:val="Ttulo2"/>
                              <w:jc w:val="righ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17640">
                        <a:noAutofit/>
                      </wps:bodyPr>
                    </wps:wsp>
                  </a:graphicData>
                </a:graphic>
                <wp14:sizeRelH relativeFrom="margin">
                  <wp14:pctWidth>99000</wp14:pctWidth>
                </wp14:sizeRelH>
              </wp:anchor>
            </w:drawing>
          </mc:Choice>
          <mc:Fallback>
            <w:pict w14:anchorId="096072BD">
              <v:rect id="Marco1" style="position:absolute;margin-left:0;margin-top:.05pt;width:465.9pt;height:30.15pt;z-index:2;visibility:visible;mso-wrap-style:square;mso-width-percent:990;mso-wrap-distance-left:0;mso-wrap-distance-top:0;mso-wrap-distance-right:0;mso-wrap-distance-bottom:3.75pt;mso-position-horizontal:left;mso-position-horizontal-relative:text;mso-position-vertical:absolute;mso-position-vertical-relative:line;mso-width-percent:990;mso-width-relative:margin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">
                <v:textbox inset="0,0,0,.49mm">
                  <w:txbxContent>
                    <w:p w:rsidR="00734DC2" w:rsidRDefault="00734DC2" w14:paraId="3656B9AB" wp14:textId="77777777">
                      <w:pPr>
                        <w:pStyle w:val="Ttulo2"/>
                        <w:jc w:val="right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side="largest" anchory="line"/>
              </v:rect>
            </w:pict>
          </mc:Fallback>
        </mc:AlternateContent>
      </w:r>
    </w:p>
    <w:p xmlns:wp14="http://schemas.microsoft.com/office/word/2010/wordml" w:rsidR="00734DC2" w:rsidRDefault="003420A0" w14:paraId="70C02971" wp14:textId="77777777">
      <w:pPr>
        <w:numPr>
          <w:ilvl w:val="0"/>
          <w:numId w:val="5"/>
        </w:numPr>
        <w:spacing w:after="0" w:line="240" w:lineRule="auto"/>
        <w:textAlignment w:val="baseline"/>
      </w:pPr>
      <w:r>
        <w:rPr>
          <w:rFonts w:ascii="Arial" w:hAnsi="Arial" w:eastAsia="Times New Roman" w:cs="Times New Roman"/>
          <w:b/>
          <w:bCs/>
          <w:color w:val="000000"/>
          <w:sz w:val="24"/>
          <w:szCs w:val="24"/>
        </w:rPr>
        <w:t>Bibliografía</w:t>
      </w:r>
    </w:p>
    <w:p xmlns:wp14="http://schemas.microsoft.com/office/word/2010/wordml" w:rsidR="00734DC2" w:rsidRDefault="00734DC2" w14:paraId="45FB0818" wp14:textId="77777777">
      <w:pPr>
        <w:spacing w:after="0" w:line="240" w:lineRule="auto"/>
        <w:ind w:left="720"/>
        <w:textAlignment w:val="baseline"/>
        <w:rPr>
          <w:rStyle w:val="EnlacedeInternet"/>
          <w:rFonts w:ascii="Arial" w:hAnsi="Arial" w:eastAsia="Times New Roman" w:cs="Times New Roman"/>
          <w:color w:val="000000"/>
          <w:sz w:val="24"/>
          <w:szCs w:val="24"/>
          <w:u w:val="none"/>
        </w:rPr>
      </w:pPr>
    </w:p>
    <w:p xmlns:wp14="http://schemas.microsoft.com/office/word/2010/wordml" w:rsidR="00734DC2" w:rsidRDefault="003420A0" w14:paraId="0C3C64F6" wp14:textId="77777777">
      <w:pPr>
        <w:spacing w:after="0" w:line="240" w:lineRule="auto"/>
        <w:jc w:val="both"/>
        <w:textAlignment w:val="baseline"/>
      </w:pPr>
      <w:r>
        <w:rPr>
          <w:rStyle w:val="EnlacedeInternet"/>
          <w:rFonts w:ascii="Arial" w:hAnsi="Arial" w:eastAsia="Times New Roman" w:cs="Times New Roman"/>
          <w:color w:val="000000"/>
          <w:sz w:val="24"/>
          <w:szCs w:val="24"/>
          <w:u w:val="none"/>
        </w:rPr>
        <w:t>Arroyo, D. (2011). El rol de los gobiernos locales. La evaluación de los proyectos. Editorial UNQ</w:t>
      </w:r>
    </w:p>
    <w:p xmlns:wp14="http://schemas.microsoft.com/office/word/2010/wordml" w:rsidR="00734DC2" w:rsidRDefault="00734DC2" w14:paraId="049F31CB" wp14:textId="77777777">
      <w:pPr>
        <w:spacing w:after="0" w:line="240" w:lineRule="auto"/>
        <w:jc w:val="both"/>
        <w:textAlignment w:val="baseline"/>
        <w:rPr>
          <w:rStyle w:val="EnlacedeInternet"/>
          <w:rFonts w:ascii="Arial" w:hAnsi="Arial" w:eastAsia="Times New Roman" w:cs="Times New Roman"/>
          <w:color w:val="000000"/>
          <w:sz w:val="24"/>
          <w:szCs w:val="24"/>
          <w:u w:val="none"/>
        </w:rPr>
      </w:pPr>
    </w:p>
    <w:p xmlns:wp14="http://schemas.microsoft.com/office/word/2010/wordml" w:rsidR="00734DC2" w:rsidRDefault="003420A0" w14:paraId="310C7E1E" wp14:textId="77777777">
      <w:pPr>
        <w:pStyle w:val="Textoindependiente"/>
        <w:spacing w:after="0" w:line="240" w:lineRule="auto"/>
        <w:jc w:val="both"/>
        <w:textAlignment w:val="baseline"/>
      </w:pPr>
      <w:r>
        <w:rPr>
          <w:rStyle w:val="EnlacedeInternet"/>
          <w:rFonts w:ascii="Arial" w:hAnsi="Arial" w:eastAsia="Times New Roman" w:cs="Times New Roman"/>
          <w:color w:val="000000"/>
          <w:sz w:val="24"/>
          <w:szCs w:val="24"/>
          <w:u w:val="none"/>
        </w:rPr>
        <w:t>Atairo, D. (2011) “Una mirada sobre los actores universitarios, sus estrategias e intereses. El proceso de implementación del Programa FOMEC en la UNLP”, en:</w:t>
      </w:r>
      <w:r>
        <w:rPr>
          <w:rStyle w:val="EnlacedeInternet"/>
          <w:rFonts w:ascii="Arial" w:hAnsi="Arial" w:eastAsia="Times New Roman" w:cs="Times New Roman"/>
          <w:color w:val="000000"/>
          <w:sz w:val="24"/>
          <w:szCs w:val="24"/>
          <w:u w:val="none"/>
        </w:rPr>
        <w:t xml:space="preserve"> Propuesta Educativa, Año 20, vol. 2, N° 36, nov. 2011, FLACSO, Buenos Aires. </w:t>
      </w:r>
    </w:p>
    <w:p xmlns:wp14="http://schemas.microsoft.com/office/word/2010/wordml" w:rsidR="00734DC2" w:rsidRDefault="00734DC2" w14:paraId="53128261" wp14:textId="77777777">
      <w:pPr>
        <w:spacing w:after="120" w:line="240" w:lineRule="auto"/>
        <w:ind w:left="720"/>
        <w:jc w:val="both"/>
        <w:textAlignment w:val="baseline"/>
        <w:rPr>
          <w:rFonts w:ascii="Arial" w:hAnsi="Arial" w:eastAsia="Times New Roman" w:cs="Times New Roman"/>
          <w:color w:val="000000"/>
          <w:sz w:val="18"/>
          <w:szCs w:val="18"/>
        </w:rPr>
      </w:pPr>
    </w:p>
    <w:p xmlns:wp14="http://schemas.microsoft.com/office/word/2010/wordml" w:rsidR="00734DC2" w:rsidRDefault="003420A0" w14:paraId="6FA0DC6A" wp14:textId="77777777">
      <w:pPr>
        <w:spacing w:after="120" w:line="240" w:lineRule="auto"/>
        <w:jc w:val="both"/>
        <w:textAlignment w:val="baseline"/>
      </w:pPr>
      <w:r>
        <w:rPr>
          <w:rFonts w:ascii="Arial" w:hAnsi="Arial" w:eastAsia="Times New Roman" w:cs="Times New Roman"/>
          <w:color w:val="000000"/>
          <w:sz w:val="24"/>
          <w:szCs w:val="24"/>
        </w:rPr>
        <w:t xml:space="preserve">Chiara, M. (2008). </w:t>
      </w:r>
      <w:r>
        <w:rPr>
          <w:rFonts w:ascii="Arial" w:hAnsi="Arial" w:eastAsia="Times New Roman" w:cs="Times New Roman"/>
          <w:color w:val="000000"/>
          <w:sz w:val="24"/>
          <w:szCs w:val="24"/>
        </w:rPr>
        <w:t xml:space="preserve">Evaluación del Programa PIIE. </w:t>
      </w:r>
      <w:r>
        <w:rPr>
          <w:rFonts w:ascii="Arial" w:hAnsi="Arial" w:eastAsia="Times New Roman" w:cs="Times New Roman"/>
          <w:color w:val="000000"/>
          <w:sz w:val="24"/>
          <w:szCs w:val="24"/>
        </w:rPr>
        <w:t xml:space="preserve">Buenos Aires: DINIECE, Ministerio de Educación. </w:t>
      </w:r>
    </w:p>
    <w:p xmlns:wp14="http://schemas.microsoft.com/office/word/2010/wordml" w:rsidR="00734DC2" w:rsidRDefault="00734DC2" w14:paraId="62486C05" wp14:textId="77777777">
      <w:pPr>
        <w:spacing w:after="120" w:line="240" w:lineRule="auto"/>
        <w:jc w:val="both"/>
        <w:textAlignment w:val="baseline"/>
        <w:rPr>
          <w:rFonts w:ascii="Arial" w:hAnsi="Arial" w:eastAsia="Times New Roman" w:cs="Times New Roman"/>
          <w:color w:val="000000"/>
          <w:sz w:val="16"/>
          <w:szCs w:val="16"/>
        </w:rPr>
      </w:pPr>
    </w:p>
    <w:p xmlns:wp14="http://schemas.microsoft.com/office/word/2010/wordml" w:rsidR="00734DC2" w:rsidRDefault="003420A0" w14:paraId="291B2EA3" wp14:textId="77777777">
      <w:pPr>
        <w:spacing w:after="120" w:line="240" w:lineRule="auto"/>
        <w:jc w:val="both"/>
        <w:textAlignment w:val="baseline"/>
      </w:pPr>
      <w:r>
        <w:rPr>
          <w:rFonts w:ascii="Arial" w:hAnsi="Arial" w:eastAsia="Times New Roman" w:cs="Times New Roman"/>
          <w:color w:val="000000"/>
          <w:sz w:val="24"/>
          <w:szCs w:val="24"/>
        </w:rPr>
        <w:t xml:space="preserve">Ilari, S (2006) </w:t>
      </w:r>
      <w:r>
        <w:rPr>
          <w:rFonts w:ascii="Arial" w:hAnsi="Arial"/>
          <w:color w:val="000000"/>
          <w:sz w:val="24"/>
          <w:szCs w:val="24"/>
        </w:rPr>
        <w:t xml:space="preserve">Investigaciones en curso Entre el género y la especie. </w:t>
      </w:r>
      <w:r>
        <w:rPr>
          <w:rFonts w:ascii="Arial" w:hAnsi="Arial"/>
          <w:color w:val="000000"/>
          <w:sz w:val="24"/>
          <w:szCs w:val="24"/>
        </w:rPr>
        <w:t>Reflexionando sobre la política y gestión social. Revista Circunstancia. Año IV – N 11 – S</w:t>
      </w:r>
      <w:bookmarkStart w:name="0" w:id="1"/>
      <w:bookmarkEnd w:id="1"/>
      <w:r>
        <w:rPr>
          <w:rFonts w:ascii="Arial" w:hAnsi="Arial"/>
          <w:color w:val="000000"/>
          <w:sz w:val="24"/>
          <w:szCs w:val="24"/>
        </w:rPr>
        <w:t xml:space="preserve">eptiembre. Disponible en: </w:t>
      </w:r>
      <w:hyperlink r:id="rId5">
        <w:r>
          <w:rPr>
            <w:rStyle w:val="EnlacedeInternet"/>
            <w:rFonts w:ascii="Arial" w:hAnsi="Arial"/>
            <w:color w:val="000000"/>
            <w:sz w:val="24"/>
            <w:szCs w:val="24"/>
          </w:rPr>
          <w:t>http://www.ortegaygasset.edu/publicaciones/circunstancia/ano-iv---numero-11---septiembre-2006/investigaciones-en-curso/entre-el-genero-y-la-especie--reflexiona</w:t>
        </w:r>
        <w:r>
          <w:rPr>
            <w:rStyle w:val="EnlacedeInternet"/>
            <w:rFonts w:ascii="Arial" w:hAnsi="Arial"/>
            <w:color w:val="000000"/>
            <w:sz w:val="24"/>
            <w:szCs w:val="24"/>
          </w:rPr>
          <w:t>ndo-sobre-la-naturaleza-de-la-politica-y-la-gestion-social</w:t>
        </w:r>
      </w:hyperlink>
    </w:p>
    <w:p xmlns:wp14="http://schemas.microsoft.com/office/word/2010/wordml" w:rsidR="00734DC2" w:rsidRDefault="00734DC2" w14:paraId="4101652C" wp14:textId="77777777">
      <w:pPr>
        <w:spacing w:after="0" w:line="240" w:lineRule="auto"/>
        <w:ind w:left="720"/>
        <w:jc w:val="both"/>
        <w:textAlignment w:val="baseline"/>
        <w:rPr>
          <w:rFonts w:ascii="Arial" w:hAnsi="Arial"/>
          <w:color w:val="000000"/>
          <w:sz w:val="20"/>
          <w:szCs w:val="20"/>
        </w:rPr>
      </w:pPr>
    </w:p>
    <w:p xmlns:wp14="http://schemas.microsoft.com/office/word/2010/wordml" w:rsidR="00734DC2" w:rsidRDefault="003420A0" w14:paraId="7D971AF3" wp14:textId="77777777">
      <w:pPr>
        <w:spacing w:after="0" w:line="240" w:lineRule="auto"/>
        <w:jc w:val="both"/>
        <w:textAlignment w:val="baseline"/>
      </w:pPr>
      <w:r>
        <w:rPr>
          <w:rFonts w:ascii="Arial" w:hAnsi="Arial"/>
          <w:color w:val="000000"/>
          <w:sz w:val="24"/>
          <w:szCs w:val="24"/>
        </w:rPr>
        <w:t xml:space="preserve">Ilari, S (2005) “La reformulación de los programas sociales. Del </w:t>
      </w:r>
      <w:r>
        <w:rPr>
          <w:rFonts w:ascii="Arial" w:hAnsi="Arial"/>
          <w:i/>
          <w:iCs/>
          <w:color w:val="000000"/>
          <w:sz w:val="24"/>
          <w:szCs w:val="24"/>
        </w:rPr>
        <w:t xml:space="preserve">Plan Vida </w:t>
      </w:r>
      <w:r>
        <w:rPr>
          <w:rFonts w:ascii="Arial" w:hAnsi="Arial"/>
          <w:color w:val="000000"/>
          <w:sz w:val="24"/>
          <w:szCs w:val="24"/>
        </w:rPr>
        <w:t xml:space="preserve">al </w:t>
      </w:r>
      <w:r>
        <w:rPr>
          <w:rFonts w:ascii="Arial" w:hAnsi="Arial"/>
          <w:i/>
          <w:iCs/>
          <w:color w:val="000000"/>
          <w:sz w:val="24"/>
          <w:szCs w:val="24"/>
        </w:rPr>
        <w:t>Plan Más Vida</w:t>
      </w:r>
      <w:r>
        <w:rPr>
          <w:rFonts w:ascii="Arial" w:hAnsi="Arial"/>
          <w:color w:val="000000"/>
          <w:sz w:val="24"/>
          <w:szCs w:val="24"/>
        </w:rPr>
        <w:t xml:space="preserve">”. INDES.  </w:t>
      </w:r>
    </w:p>
    <w:p xmlns:wp14="http://schemas.microsoft.com/office/word/2010/wordml" w:rsidR="00734DC2" w:rsidRDefault="00734DC2" w14:paraId="4B99056E" wp14:textId="77777777">
      <w:pPr>
        <w:spacing w:after="0" w:line="240" w:lineRule="auto"/>
        <w:ind w:left="720"/>
        <w:jc w:val="both"/>
        <w:textAlignment w:val="baseline"/>
        <w:rPr>
          <w:rFonts w:ascii="Arial" w:hAnsi="Arial" w:eastAsia="Times New Roman" w:cs="Times New Roman"/>
          <w:color w:val="000000"/>
        </w:rPr>
      </w:pPr>
    </w:p>
    <w:p xmlns:wp14="http://schemas.microsoft.com/office/word/2010/wordml" w:rsidR="00734DC2" w:rsidRDefault="003420A0" w14:paraId="7CF8DF65" wp14:textId="77777777">
      <w:pPr>
        <w:spacing w:after="0" w:line="240" w:lineRule="auto"/>
        <w:jc w:val="both"/>
        <w:textAlignment w:val="baseline"/>
      </w:pPr>
      <w:r>
        <w:rPr>
          <w:rFonts w:ascii="Arial" w:hAnsi="Arial" w:eastAsia="Times New Roman" w:cs="Times New Roman"/>
          <w:color w:val="000000"/>
          <w:sz w:val="24"/>
          <w:szCs w:val="24"/>
        </w:rPr>
        <w:t>Llomovatte, S., Juarros, F y Kantarovich, G (2013) “La prospectiva en el proceso de planific</w:t>
      </w:r>
      <w:r>
        <w:rPr>
          <w:rFonts w:ascii="Arial" w:hAnsi="Arial" w:eastAsia="Times New Roman" w:cs="Times New Roman"/>
          <w:color w:val="000000"/>
          <w:sz w:val="24"/>
          <w:szCs w:val="24"/>
        </w:rPr>
        <w:t>ación educativa”. En: Llomovatte, S., Juarros, F y Kantarovich, G (2013) Reflexiones prospectivas. Facultad de Filosofía y Letras, UBA.</w:t>
      </w:r>
    </w:p>
    <w:p xmlns:wp14="http://schemas.microsoft.com/office/word/2010/wordml" w:rsidR="00734DC2" w:rsidRDefault="00734DC2" w14:paraId="1299C43A" wp14:textId="77777777">
      <w:pPr>
        <w:spacing w:after="0" w:line="240" w:lineRule="auto"/>
        <w:jc w:val="both"/>
        <w:textAlignment w:val="baseline"/>
        <w:rPr>
          <w:rFonts w:ascii="Arial" w:hAnsi="Arial" w:eastAsia="Times New Roman" w:cs="Times New Roman"/>
          <w:color w:val="000000"/>
          <w:sz w:val="24"/>
          <w:szCs w:val="24"/>
        </w:rPr>
      </w:pPr>
    </w:p>
    <w:p xmlns:wp14="http://schemas.microsoft.com/office/word/2010/wordml" w:rsidR="00734DC2" w:rsidRDefault="003420A0" w14:paraId="7EB3247C" wp14:textId="77777777">
      <w:pPr>
        <w:spacing w:after="0" w:line="240" w:lineRule="auto"/>
        <w:jc w:val="both"/>
        <w:textAlignment w:val="baseline"/>
        <w:rPr>
          <w:rFonts w:ascii="Arial" w:hAnsi="Arial" w:eastAsia="Times New Roman" w:cs="Times New Roman"/>
          <w:color w:val="000000"/>
          <w:sz w:val="24"/>
          <w:szCs w:val="24"/>
        </w:rPr>
      </w:pPr>
      <w:r>
        <w:rPr>
          <w:rFonts w:ascii="Arial" w:hAnsi="Arial" w:eastAsia="Times New Roman" w:cs="Times New Roman"/>
          <w:color w:val="000000"/>
          <w:sz w:val="24"/>
          <w:szCs w:val="24"/>
        </w:rPr>
        <w:t>Documento de la DINIECE, Ministerio de Educación. Secretaría de Educación. Quia para la evaluación de programas en educ</w:t>
      </w:r>
      <w:r>
        <w:rPr>
          <w:rFonts w:ascii="Arial" w:hAnsi="Arial" w:eastAsia="Times New Roman" w:cs="Times New Roman"/>
          <w:color w:val="000000"/>
          <w:sz w:val="24"/>
          <w:szCs w:val="24"/>
        </w:rPr>
        <w:t>ación, 2008</w:t>
      </w:r>
    </w:p>
    <w:p xmlns:wp14="http://schemas.microsoft.com/office/word/2010/wordml" w:rsidR="00734DC2" w:rsidRDefault="00734DC2" w14:paraId="4DDBEF00" wp14:textId="77777777">
      <w:pPr>
        <w:spacing w:after="0" w:line="240" w:lineRule="auto"/>
        <w:jc w:val="both"/>
        <w:textAlignment w:val="baseline"/>
        <w:rPr>
          <w:rFonts w:ascii="Arial" w:hAnsi="Arial" w:eastAsia="Times New Roman" w:cs="Times New Roman"/>
          <w:color w:val="000000"/>
          <w:sz w:val="24"/>
          <w:szCs w:val="24"/>
        </w:rPr>
      </w:pPr>
    </w:p>
    <w:p xmlns:wp14="http://schemas.microsoft.com/office/word/2010/wordml" w:rsidR="00734DC2" w:rsidRDefault="003420A0" w14:paraId="420B34A2" wp14:textId="77777777">
      <w:pPr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rFonts w:ascii="Arial" w:hAnsi="Arial" w:eastAsia="Times New Roman" w:cs="Times New Roman"/>
          <w:color w:val="000000"/>
          <w:sz w:val="24"/>
          <w:szCs w:val="24"/>
        </w:rPr>
        <w:t xml:space="preserve">Programa Nacional de Educación Solidaria. Itinerario y herramientas para el desarrollo de proyectos. Ministerio de Educación, 2012 </w:t>
      </w:r>
    </w:p>
    <w:p xmlns:wp14="http://schemas.microsoft.com/office/word/2010/wordml" w:rsidR="00734DC2" w:rsidRDefault="00734DC2" w14:paraId="3461D779" wp14:textId="77777777">
      <w:pPr>
        <w:spacing w:after="0" w:line="240" w:lineRule="auto"/>
        <w:jc w:val="both"/>
        <w:textAlignment w:val="baseline"/>
        <w:rPr>
          <w:rFonts w:ascii="Arial" w:hAnsi="Arial" w:eastAsia="Times New Roman" w:cs="Times New Roman"/>
          <w:color w:val="000000"/>
        </w:rPr>
      </w:pPr>
    </w:p>
    <w:p xmlns:wp14="http://schemas.microsoft.com/office/word/2010/wordml" w:rsidR="00734DC2" w:rsidRDefault="003420A0" w14:paraId="17C22770" wp14:textId="77777777">
      <w:pPr>
        <w:spacing w:after="120" w:line="240" w:lineRule="auto"/>
        <w:jc w:val="both"/>
        <w:textAlignment w:val="baseline"/>
      </w:pPr>
      <w:r>
        <w:rPr>
          <w:rFonts w:ascii="Arial" w:hAnsi="Arial" w:eastAsia="Times New Roman" w:cs="Times New Roman"/>
          <w:color w:val="000000"/>
          <w:sz w:val="24"/>
          <w:szCs w:val="24"/>
        </w:rPr>
        <w:t xml:space="preserve">Terigi, F. (2007). “Cuatro concepciones sobre el planeamiento educativo en la reforma educativa argentina de los noventa”, en </w:t>
      </w:r>
      <w:r>
        <w:rPr>
          <w:rFonts w:ascii="Arial" w:hAnsi="Arial" w:eastAsia="Times New Roman" w:cs="Times New Roman"/>
          <w:i/>
          <w:iCs/>
          <w:color w:val="000000"/>
          <w:sz w:val="24"/>
          <w:szCs w:val="24"/>
        </w:rPr>
        <w:t xml:space="preserve">Education Policy Analysis Archives/Archivos Analíticos de Políticas Educativas. </w:t>
      </w:r>
      <w:r>
        <w:rPr>
          <w:rFonts w:ascii="Arial" w:hAnsi="Arial" w:eastAsia="Times New Roman" w:cs="Times New Roman"/>
          <w:color w:val="000000"/>
          <w:sz w:val="24"/>
          <w:szCs w:val="24"/>
        </w:rPr>
        <w:t xml:space="preserve">Vol. 15, enero. Disponible en </w:t>
      </w:r>
      <w:hyperlink r:id="rId6">
        <w:bookmarkStart w:name="__DdeLink__155_2045805518" w:id="2"/>
        <w:r>
          <w:rPr>
            <w:rStyle w:val="EnlacedeInternet"/>
            <w:rFonts w:ascii="Arial" w:hAnsi="Arial" w:eastAsia="Times New Roman" w:cs="Times New Roman"/>
            <w:sz w:val="24"/>
            <w:szCs w:val="24"/>
          </w:rPr>
          <w:t>http://www.redalyc.org/articulo.oa?id=275020546010</w:t>
        </w:r>
      </w:hyperlink>
      <w:bookmarkEnd w:id="2"/>
      <w:r>
        <w:rPr>
          <w:rFonts w:ascii="Arial" w:hAnsi="Arial" w:eastAsia="Times New Roman" w:cs="Times New Roman"/>
          <w:color w:val="000000"/>
          <w:sz w:val="24"/>
          <w:szCs w:val="24"/>
        </w:rPr>
        <w:t xml:space="preserve"> </w:t>
      </w:r>
    </w:p>
    <w:p xmlns:wp14="http://schemas.microsoft.com/office/word/2010/wordml" w:rsidR="00734DC2" w:rsidRDefault="00734DC2" w14:paraId="3CF2D8B6" wp14:textId="77777777">
      <w:pPr>
        <w:spacing w:after="120" w:line="240" w:lineRule="auto"/>
        <w:ind w:left="720"/>
        <w:jc w:val="both"/>
        <w:textAlignment w:val="baseline"/>
        <w:rPr>
          <w:rFonts w:ascii="Arial" w:hAnsi="Arial" w:eastAsia="Times New Roman" w:cs="Times New Roman"/>
          <w:sz w:val="24"/>
          <w:szCs w:val="24"/>
        </w:rPr>
      </w:pPr>
    </w:p>
    <w:p xmlns:wp14="http://schemas.microsoft.com/office/word/2010/wordml" w:rsidR="00734DC2" w:rsidRDefault="003420A0" w14:paraId="271EC0BF" wp14:textId="77777777">
      <w:pPr>
        <w:numPr>
          <w:ilvl w:val="0"/>
          <w:numId w:val="6"/>
        </w:numPr>
        <w:spacing w:after="120" w:line="240" w:lineRule="auto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 w:eastAsia="Times New Roman" w:cs="Times New Roman"/>
          <w:b/>
          <w:bCs/>
          <w:color w:val="000000"/>
          <w:sz w:val="24"/>
          <w:szCs w:val="24"/>
        </w:rPr>
        <w:t>Evaluación</w:t>
      </w:r>
    </w:p>
    <w:p xmlns:wp14="http://schemas.microsoft.com/office/word/2010/wordml" w:rsidR="00734DC2" w:rsidRDefault="003420A0" w14:paraId="1F2D9F4A" wp14:textId="77777777">
      <w:pPr>
        <w:spacing w:after="120" w:line="240" w:lineRule="auto"/>
        <w:jc w:val="both"/>
      </w:pPr>
      <w:r>
        <w:rPr>
          <w:rFonts w:ascii="Arial" w:hAnsi="Arial" w:eastAsia="Times New Roman" w:cs="Times New Roman"/>
          <w:color w:val="000000"/>
          <w:sz w:val="24"/>
          <w:szCs w:val="24"/>
        </w:rPr>
        <w:t>Son requisitos para la aprobación del Seminario la entrega de un trabajo final consistente en el diseño de un proyecto ha realizarse en grupos</w:t>
      </w:r>
      <w:r>
        <w:rPr>
          <w:rFonts w:ascii="Arial" w:hAnsi="Arial" w:eastAsia="Times New Roman" w:cs="Times New Roman"/>
          <w:color w:val="000000"/>
          <w:sz w:val="24"/>
          <w:szCs w:val="24"/>
        </w:rPr>
        <w:t xml:space="preserve"> de hasta tres integrantes.</w:t>
      </w:r>
    </w:p>
    <w:p xmlns:wp14="http://schemas.microsoft.com/office/word/2010/wordml" w:rsidR="00734DC2" w:rsidRDefault="00734DC2" w14:paraId="0FB78278" wp14:textId="77777777"/>
    <w:sectPr w:rsidR="00734DC2">
      <w:pgSz w:w="12240" w:h="15840" w:orient="portrait"/>
      <w:pgMar w:top="1417" w:right="1377" w:bottom="1417" w:left="145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93003"/>
    <w:multiLevelType w:val="multilevel"/>
    <w:tmpl w:val="2808241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9E2162"/>
    <w:multiLevelType w:val="multilevel"/>
    <w:tmpl w:val="C866A93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FC3CBB"/>
    <w:multiLevelType w:val="multilevel"/>
    <w:tmpl w:val="385EF54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DF0F6E"/>
    <w:multiLevelType w:val="multilevel"/>
    <w:tmpl w:val="5F722D8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A56BA8"/>
    <w:multiLevelType w:val="multilevel"/>
    <w:tmpl w:val="90A82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66098A"/>
    <w:multiLevelType w:val="multilevel"/>
    <w:tmpl w:val="366ACC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F1B0D4E"/>
    <w:multiLevelType w:val="multilevel"/>
    <w:tmpl w:val="2CFE7CE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C2"/>
    <w:rsid w:val="003420A0"/>
    <w:rsid w:val="00734DC2"/>
    <w:rsid w:val="1856B98D"/>
    <w:rsid w:val="1A6515D7"/>
    <w:rsid w:val="53508868"/>
    <w:rsid w:val="53EC6283"/>
    <w:rsid w:val="62D16241"/>
    <w:rsid w:val="7342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F819D"/>
  <w15:docId w15:val="{BAED2824-E065-40E7-B5FB-924F70041C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00" w:line="276" w:lineRule="auto"/>
    </w:pPr>
    <w:rPr>
      <w:color w:val="00000A"/>
      <w:sz w:val="22"/>
    </w:rPr>
  </w:style>
  <w:style w:type="paragraph" w:styleId="Ttulo2">
    <w:name w:val="heading 2"/>
    <w:basedOn w:val="Encabezado"/>
    <w:qFormat/>
    <w:pPr>
      <w:outlineLvl w:val="1"/>
    </w:pPr>
  </w:style>
  <w:style w:type="paragraph" w:styleId="Ttulo3">
    <w:name w:val="heading 3"/>
    <w:basedOn w:val="Encabezado"/>
    <w:qFormat/>
    <w:pPr>
      <w:outlineLvl w:val="2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EnlacedeInternet" w:customStyle="1">
    <w:name w:val="Enlace de Internet"/>
    <w:basedOn w:val="Fuentedeprrafopredeter"/>
    <w:uiPriority w:val="99"/>
    <w:semiHidden/>
    <w:unhideWhenUsed/>
    <w:rsid w:val="00AE6AED"/>
    <w:rPr>
      <w:color w:val="0000FF"/>
      <w:u w:val="single"/>
    </w:rPr>
  </w:style>
  <w:style w:type="character" w:styleId="ListLabel1" w:customStyle="1">
    <w:name w:val="ListLabel 1"/>
    <w:qFormat/>
    <w:rPr>
      <w:rFonts w:ascii="Times New Roman" w:hAnsi="Times New Roman"/>
      <w:sz w:val="24"/>
    </w:rPr>
  </w:style>
  <w:style w:type="character" w:styleId="ListLabel2" w:customStyle="1">
    <w:name w:val="ListLabel 2"/>
    <w:qFormat/>
    <w:rPr>
      <w:sz w:val="20"/>
    </w:rPr>
  </w:style>
  <w:style w:type="character" w:styleId="ListLabel3" w:customStyle="1">
    <w:name w:val="ListLabel 3"/>
    <w:qFormat/>
    <w:rPr>
      <w:sz w:val="20"/>
    </w:rPr>
  </w:style>
  <w:style w:type="character" w:styleId="ListLabel4" w:customStyle="1">
    <w:name w:val="ListLabel 4"/>
    <w:qFormat/>
    <w:rPr>
      <w:sz w:val="20"/>
    </w:rPr>
  </w:style>
  <w:style w:type="character" w:styleId="ListLabel5" w:customStyle="1">
    <w:name w:val="ListLabel 5"/>
    <w:qFormat/>
    <w:rPr>
      <w:sz w:val="20"/>
    </w:rPr>
  </w:style>
  <w:style w:type="character" w:styleId="ListLabel6" w:customStyle="1">
    <w:name w:val="ListLabel 6"/>
    <w:qFormat/>
    <w:rPr>
      <w:sz w:val="20"/>
    </w:rPr>
  </w:style>
  <w:style w:type="character" w:styleId="ListLabel7" w:customStyle="1">
    <w:name w:val="ListLabel 7"/>
    <w:qFormat/>
    <w:rPr>
      <w:sz w:val="20"/>
    </w:rPr>
  </w:style>
  <w:style w:type="character" w:styleId="ListLabel8" w:customStyle="1">
    <w:name w:val="ListLabel 8"/>
    <w:qFormat/>
    <w:rPr>
      <w:sz w:val="20"/>
    </w:rPr>
  </w:style>
  <w:style w:type="character" w:styleId="ListLabel9" w:customStyle="1">
    <w:name w:val="ListLabel 9"/>
    <w:qFormat/>
    <w:rPr>
      <w:sz w:val="20"/>
    </w:rPr>
  </w:style>
  <w:style w:type="character" w:styleId="ListLabel10" w:customStyle="1">
    <w:name w:val="ListLabel 10"/>
    <w:qFormat/>
    <w:rPr>
      <w:rFonts w:ascii="Times New Roman" w:hAnsi="Times New Roman"/>
      <w:sz w:val="24"/>
    </w:rPr>
  </w:style>
  <w:style w:type="character" w:styleId="ListLabel11" w:customStyle="1">
    <w:name w:val="ListLabel 11"/>
    <w:qFormat/>
    <w:rPr>
      <w:sz w:val="20"/>
    </w:rPr>
  </w:style>
  <w:style w:type="character" w:styleId="ListLabel12" w:customStyle="1">
    <w:name w:val="ListLabel 12"/>
    <w:qFormat/>
    <w:rPr>
      <w:sz w:val="20"/>
    </w:rPr>
  </w:style>
  <w:style w:type="character" w:styleId="ListLabel13" w:customStyle="1">
    <w:name w:val="ListLabel 13"/>
    <w:qFormat/>
    <w:rPr>
      <w:sz w:val="20"/>
    </w:rPr>
  </w:style>
  <w:style w:type="character" w:styleId="ListLabel14" w:customStyle="1">
    <w:name w:val="ListLabel 14"/>
    <w:qFormat/>
    <w:rPr>
      <w:sz w:val="20"/>
    </w:rPr>
  </w:style>
  <w:style w:type="character" w:styleId="ListLabel15" w:customStyle="1">
    <w:name w:val="ListLabel 15"/>
    <w:qFormat/>
    <w:rPr>
      <w:sz w:val="20"/>
    </w:rPr>
  </w:style>
  <w:style w:type="character" w:styleId="ListLabel16" w:customStyle="1">
    <w:name w:val="ListLabel 16"/>
    <w:qFormat/>
    <w:rPr>
      <w:sz w:val="20"/>
    </w:rPr>
  </w:style>
  <w:style w:type="character" w:styleId="ListLabel17" w:customStyle="1">
    <w:name w:val="ListLabel 17"/>
    <w:qFormat/>
    <w:rPr>
      <w:sz w:val="20"/>
    </w:rPr>
  </w:style>
  <w:style w:type="character" w:styleId="ListLabel18" w:customStyle="1">
    <w:name w:val="ListLabel 18"/>
    <w:qFormat/>
    <w:rPr>
      <w:sz w:val="20"/>
    </w:rPr>
  </w:style>
  <w:style w:type="character" w:styleId="ListLabel19" w:customStyle="1">
    <w:name w:val="ListLabel 19"/>
    <w:qFormat/>
    <w:rPr>
      <w:rFonts w:ascii="Times New Roman" w:hAnsi="Times New Roman" w:cs="Symbol"/>
      <w:sz w:val="24"/>
    </w:rPr>
  </w:style>
  <w:style w:type="character" w:styleId="ListLabel20" w:customStyle="1">
    <w:name w:val="ListLabel 20"/>
    <w:qFormat/>
    <w:rPr>
      <w:rFonts w:cs="Courier New"/>
      <w:sz w:val="20"/>
    </w:rPr>
  </w:style>
  <w:style w:type="character" w:styleId="ListLabel21" w:customStyle="1">
    <w:name w:val="ListLabel 21"/>
    <w:qFormat/>
    <w:rPr>
      <w:rFonts w:cs="Wingdings"/>
      <w:sz w:val="20"/>
    </w:rPr>
  </w:style>
  <w:style w:type="character" w:styleId="ListLabel22" w:customStyle="1">
    <w:name w:val="ListLabel 22"/>
    <w:qFormat/>
    <w:rPr>
      <w:rFonts w:cs="Wingdings"/>
      <w:sz w:val="20"/>
    </w:rPr>
  </w:style>
  <w:style w:type="character" w:styleId="ListLabel23" w:customStyle="1">
    <w:name w:val="ListLabel 23"/>
    <w:qFormat/>
    <w:rPr>
      <w:rFonts w:cs="Wingdings"/>
      <w:sz w:val="20"/>
    </w:rPr>
  </w:style>
  <w:style w:type="character" w:styleId="ListLabel24" w:customStyle="1">
    <w:name w:val="ListLabel 24"/>
    <w:qFormat/>
    <w:rPr>
      <w:rFonts w:cs="Wingdings"/>
      <w:sz w:val="20"/>
    </w:rPr>
  </w:style>
  <w:style w:type="character" w:styleId="ListLabel25" w:customStyle="1">
    <w:name w:val="ListLabel 25"/>
    <w:qFormat/>
    <w:rPr>
      <w:rFonts w:cs="Wingdings"/>
      <w:sz w:val="20"/>
    </w:rPr>
  </w:style>
  <w:style w:type="character" w:styleId="ListLabel26" w:customStyle="1">
    <w:name w:val="ListLabel 26"/>
    <w:qFormat/>
    <w:rPr>
      <w:rFonts w:cs="Wingdings"/>
      <w:sz w:val="20"/>
    </w:rPr>
  </w:style>
  <w:style w:type="character" w:styleId="ListLabel27" w:customStyle="1">
    <w:name w:val="ListLabel 27"/>
    <w:qFormat/>
    <w:rPr>
      <w:rFonts w:cs="Wingdings"/>
      <w:sz w:val="20"/>
    </w:rPr>
  </w:style>
  <w:style w:type="character" w:styleId="ListLabel28" w:customStyle="1">
    <w:name w:val="ListLabel 28"/>
    <w:qFormat/>
    <w:rPr>
      <w:rFonts w:ascii="Times New Roman" w:hAnsi="Times New Roman" w:cs="Symbol"/>
      <w:sz w:val="24"/>
    </w:rPr>
  </w:style>
  <w:style w:type="character" w:styleId="ListLabel29" w:customStyle="1">
    <w:name w:val="ListLabel 29"/>
    <w:qFormat/>
    <w:rPr>
      <w:rFonts w:cs="Courier New"/>
      <w:sz w:val="20"/>
    </w:rPr>
  </w:style>
  <w:style w:type="character" w:styleId="ListLabel30" w:customStyle="1">
    <w:name w:val="ListLabel 30"/>
    <w:qFormat/>
    <w:rPr>
      <w:rFonts w:cs="Wingdings"/>
      <w:sz w:val="20"/>
    </w:rPr>
  </w:style>
  <w:style w:type="character" w:styleId="ListLabel31" w:customStyle="1">
    <w:name w:val="ListLabel 31"/>
    <w:qFormat/>
    <w:rPr>
      <w:rFonts w:cs="Wingdings"/>
      <w:sz w:val="20"/>
    </w:rPr>
  </w:style>
  <w:style w:type="character" w:styleId="ListLabel32" w:customStyle="1">
    <w:name w:val="ListLabel 32"/>
    <w:qFormat/>
    <w:rPr>
      <w:rFonts w:cs="Wingdings"/>
      <w:sz w:val="20"/>
    </w:rPr>
  </w:style>
  <w:style w:type="character" w:styleId="ListLabel33" w:customStyle="1">
    <w:name w:val="ListLabel 33"/>
    <w:qFormat/>
    <w:rPr>
      <w:rFonts w:cs="Wingdings"/>
      <w:sz w:val="20"/>
    </w:rPr>
  </w:style>
  <w:style w:type="character" w:styleId="ListLabel34" w:customStyle="1">
    <w:name w:val="ListLabel 34"/>
    <w:qFormat/>
    <w:rPr>
      <w:rFonts w:cs="Wingdings"/>
      <w:sz w:val="20"/>
    </w:rPr>
  </w:style>
  <w:style w:type="character" w:styleId="ListLabel35" w:customStyle="1">
    <w:name w:val="ListLabel 35"/>
    <w:qFormat/>
    <w:rPr>
      <w:rFonts w:cs="Wingdings"/>
      <w:sz w:val="20"/>
    </w:rPr>
  </w:style>
  <w:style w:type="character" w:styleId="ListLabel36" w:customStyle="1">
    <w:name w:val="ListLabel 36"/>
    <w:qFormat/>
    <w:rPr>
      <w:rFonts w:cs="Wingdings"/>
      <w:sz w:val="20"/>
    </w:rPr>
  </w:style>
  <w:style w:type="character" w:styleId="ListLabel37" w:customStyle="1">
    <w:name w:val="ListLabel 37"/>
    <w:qFormat/>
    <w:rPr>
      <w:rFonts w:ascii="Times New Roman" w:hAnsi="Times New Roman" w:cs="Symbol"/>
      <w:sz w:val="24"/>
    </w:rPr>
  </w:style>
  <w:style w:type="character" w:styleId="ListLabel38" w:customStyle="1">
    <w:name w:val="ListLabel 38"/>
    <w:qFormat/>
    <w:rPr>
      <w:rFonts w:cs="Courier New"/>
      <w:sz w:val="20"/>
    </w:rPr>
  </w:style>
  <w:style w:type="character" w:styleId="ListLabel39" w:customStyle="1">
    <w:name w:val="ListLabel 39"/>
    <w:qFormat/>
    <w:rPr>
      <w:rFonts w:cs="Wingdings"/>
      <w:sz w:val="20"/>
    </w:rPr>
  </w:style>
  <w:style w:type="character" w:styleId="ListLabel40" w:customStyle="1">
    <w:name w:val="ListLabel 40"/>
    <w:qFormat/>
    <w:rPr>
      <w:rFonts w:cs="Wingdings"/>
      <w:sz w:val="20"/>
    </w:rPr>
  </w:style>
  <w:style w:type="character" w:styleId="ListLabel41" w:customStyle="1">
    <w:name w:val="ListLabel 41"/>
    <w:qFormat/>
    <w:rPr>
      <w:rFonts w:cs="Wingdings"/>
      <w:sz w:val="20"/>
    </w:rPr>
  </w:style>
  <w:style w:type="character" w:styleId="ListLabel42" w:customStyle="1">
    <w:name w:val="ListLabel 42"/>
    <w:qFormat/>
    <w:rPr>
      <w:rFonts w:cs="Wingdings"/>
      <w:sz w:val="20"/>
    </w:rPr>
  </w:style>
  <w:style w:type="character" w:styleId="ListLabel43" w:customStyle="1">
    <w:name w:val="ListLabel 43"/>
    <w:qFormat/>
    <w:rPr>
      <w:rFonts w:cs="Wingdings"/>
      <w:sz w:val="20"/>
    </w:rPr>
  </w:style>
  <w:style w:type="character" w:styleId="ListLabel44" w:customStyle="1">
    <w:name w:val="ListLabel 44"/>
    <w:qFormat/>
    <w:rPr>
      <w:rFonts w:cs="Wingdings"/>
      <w:sz w:val="20"/>
    </w:rPr>
  </w:style>
  <w:style w:type="character" w:styleId="ListLabel45" w:customStyle="1">
    <w:name w:val="ListLabel 45"/>
    <w:qFormat/>
    <w:rPr>
      <w:rFonts w:cs="Wingdings"/>
      <w:sz w:val="20"/>
    </w:rPr>
  </w:style>
  <w:style w:type="character" w:styleId="ListLabel46" w:customStyle="1">
    <w:name w:val="ListLabel 46"/>
    <w:qFormat/>
    <w:rPr>
      <w:rFonts w:cs="Symbol"/>
      <w:sz w:val="24"/>
    </w:rPr>
  </w:style>
  <w:style w:type="character" w:styleId="ListLabel47" w:customStyle="1">
    <w:name w:val="ListLabel 47"/>
    <w:qFormat/>
    <w:rPr>
      <w:rFonts w:cs="Courier New"/>
      <w:sz w:val="20"/>
    </w:rPr>
  </w:style>
  <w:style w:type="character" w:styleId="ListLabel48" w:customStyle="1">
    <w:name w:val="ListLabel 48"/>
    <w:qFormat/>
    <w:rPr>
      <w:rFonts w:cs="Wingdings"/>
      <w:sz w:val="20"/>
    </w:rPr>
  </w:style>
  <w:style w:type="character" w:styleId="ListLabel49" w:customStyle="1">
    <w:name w:val="ListLabel 49"/>
    <w:qFormat/>
    <w:rPr>
      <w:rFonts w:cs="Wingdings"/>
      <w:sz w:val="20"/>
    </w:rPr>
  </w:style>
  <w:style w:type="character" w:styleId="ListLabel50" w:customStyle="1">
    <w:name w:val="ListLabel 50"/>
    <w:qFormat/>
    <w:rPr>
      <w:rFonts w:cs="Wingdings"/>
      <w:sz w:val="20"/>
    </w:rPr>
  </w:style>
  <w:style w:type="character" w:styleId="ListLabel51" w:customStyle="1">
    <w:name w:val="ListLabel 51"/>
    <w:qFormat/>
    <w:rPr>
      <w:rFonts w:cs="Wingdings"/>
      <w:sz w:val="20"/>
    </w:rPr>
  </w:style>
  <w:style w:type="character" w:styleId="ListLabel52" w:customStyle="1">
    <w:name w:val="ListLabel 52"/>
    <w:qFormat/>
    <w:rPr>
      <w:rFonts w:cs="Wingdings"/>
      <w:sz w:val="20"/>
    </w:rPr>
  </w:style>
  <w:style w:type="character" w:styleId="ListLabel53" w:customStyle="1">
    <w:name w:val="ListLabel 53"/>
    <w:qFormat/>
    <w:rPr>
      <w:rFonts w:cs="Wingdings"/>
      <w:sz w:val="20"/>
    </w:rPr>
  </w:style>
  <w:style w:type="character" w:styleId="ListLabel54" w:customStyle="1">
    <w:name w:val="ListLabel 54"/>
    <w:qFormat/>
    <w:rPr>
      <w:rFonts w:cs="Wingdings"/>
      <w:sz w:val="20"/>
    </w:rPr>
  </w:style>
  <w:style w:type="character" w:styleId="ListLabel55" w:customStyle="1">
    <w:name w:val="ListLabel 55"/>
    <w:qFormat/>
    <w:rPr>
      <w:rFonts w:ascii="Times New Roman" w:hAnsi="Times New Roman" w:cs="Symbol"/>
      <w:sz w:val="24"/>
    </w:rPr>
  </w:style>
  <w:style w:type="character" w:styleId="ListLabel56" w:customStyle="1">
    <w:name w:val="ListLabel 56"/>
    <w:qFormat/>
    <w:rPr>
      <w:rFonts w:cs="Courier New"/>
      <w:sz w:val="20"/>
    </w:rPr>
  </w:style>
  <w:style w:type="character" w:styleId="ListLabel57" w:customStyle="1">
    <w:name w:val="ListLabel 57"/>
    <w:qFormat/>
    <w:rPr>
      <w:rFonts w:cs="Wingdings"/>
      <w:sz w:val="20"/>
    </w:rPr>
  </w:style>
  <w:style w:type="character" w:styleId="ListLabel58" w:customStyle="1">
    <w:name w:val="ListLabel 58"/>
    <w:qFormat/>
    <w:rPr>
      <w:rFonts w:cs="Wingdings"/>
      <w:sz w:val="20"/>
    </w:rPr>
  </w:style>
  <w:style w:type="character" w:styleId="ListLabel59" w:customStyle="1">
    <w:name w:val="ListLabel 59"/>
    <w:qFormat/>
    <w:rPr>
      <w:rFonts w:cs="Wingdings"/>
      <w:sz w:val="20"/>
    </w:rPr>
  </w:style>
  <w:style w:type="character" w:styleId="ListLabel60" w:customStyle="1">
    <w:name w:val="ListLabel 60"/>
    <w:qFormat/>
    <w:rPr>
      <w:rFonts w:cs="Wingdings"/>
      <w:sz w:val="20"/>
    </w:rPr>
  </w:style>
  <w:style w:type="character" w:styleId="ListLabel61" w:customStyle="1">
    <w:name w:val="ListLabel 61"/>
    <w:qFormat/>
    <w:rPr>
      <w:rFonts w:cs="Wingdings"/>
      <w:sz w:val="20"/>
    </w:rPr>
  </w:style>
  <w:style w:type="character" w:styleId="ListLabel62" w:customStyle="1">
    <w:name w:val="ListLabel 62"/>
    <w:qFormat/>
    <w:rPr>
      <w:rFonts w:cs="Wingdings"/>
      <w:sz w:val="20"/>
    </w:rPr>
  </w:style>
  <w:style w:type="character" w:styleId="ListLabel63" w:customStyle="1">
    <w:name w:val="ListLabel 63"/>
    <w:qFormat/>
    <w:rPr>
      <w:rFonts w:cs="Wingdings"/>
      <w:sz w:val="20"/>
    </w:rPr>
  </w:style>
  <w:style w:type="character" w:styleId="ListLabel64" w:customStyle="1">
    <w:name w:val="ListLabel 64"/>
    <w:qFormat/>
    <w:rPr>
      <w:rFonts w:ascii="Times New Roman" w:hAnsi="Times New Roman" w:cs="Symbol"/>
      <w:sz w:val="24"/>
    </w:rPr>
  </w:style>
  <w:style w:type="character" w:styleId="ListLabel65" w:customStyle="1">
    <w:name w:val="ListLabel 65"/>
    <w:qFormat/>
    <w:rPr>
      <w:rFonts w:cs="Courier New"/>
      <w:sz w:val="20"/>
    </w:rPr>
  </w:style>
  <w:style w:type="character" w:styleId="ListLabel66" w:customStyle="1">
    <w:name w:val="ListLabel 66"/>
    <w:qFormat/>
    <w:rPr>
      <w:rFonts w:cs="Wingdings"/>
      <w:sz w:val="20"/>
    </w:rPr>
  </w:style>
  <w:style w:type="character" w:styleId="ListLabel67" w:customStyle="1">
    <w:name w:val="ListLabel 67"/>
    <w:qFormat/>
    <w:rPr>
      <w:rFonts w:cs="Wingdings"/>
      <w:sz w:val="20"/>
    </w:rPr>
  </w:style>
  <w:style w:type="character" w:styleId="ListLabel68" w:customStyle="1">
    <w:name w:val="ListLabel 68"/>
    <w:qFormat/>
    <w:rPr>
      <w:rFonts w:cs="Wingdings"/>
      <w:sz w:val="20"/>
    </w:rPr>
  </w:style>
  <w:style w:type="character" w:styleId="ListLabel69" w:customStyle="1">
    <w:name w:val="ListLabel 69"/>
    <w:qFormat/>
    <w:rPr>
      <w:rFonts w:cs="Wingdings"/>
      <w:sz w:val="20"/>
    </w:rPr>
  </w:style>
  <w:style w:type="character" w:styleId="ListLabel70" w:customStyle="1">
    <w:name w:val="ListLabel 70"/>
    <w:qFormat/>
    <w:rPr>
      <w:rFonts w:cs="Wingdings"/>
      <w:sz w:val="20"/>
    </w:rPr>
  </w:style>
  <w:style w:type="character" w:styleId="ListLabel71" w:customStyle="1">
    <w:name w:val="ListLabel 71"/>
    <w:qFormat/>
    <w:rPr>
      <w:rFonts w:cs="Wingdings"/>
      <w:sz w:val="20"/>
    </w:rPr>
  </w:style>
  <w:style w:type="character" w:styleId="ListLabel72" w:customStyle="1">
    <w:name w:val="ListLabel 72"/>
    <w:qFormat/>
    <w:rPr>
      <w:rFonts w:cs="Wingdings"/>
      <w:sz w:val="20"/>
    </w:rPr>
  </w:style>
  <w:style w:type="character" w:styleId="ListLabel73" w:customStyle="1">
    <w:name w:val="ListLabel 73"/>
    <w:qFormat/>
    <w:rPr>
      <w:rFonts w:cs="Symbol"/>
      <w:sz w:val="24"/>
    </w:rPr>
  </w:style>
  <w:style w:type="character" w:styleId="ListLabel74" w:customStyle="1">
    <w:name w:val="ListLabel 74"/>
    <w:qFormat/>
    <w:rPr>
      <w:rFonts w:cs="Courier New"/>
      <w:sz w:val="20"/>
    </w:rPr>
  </w:style>
  <w:style w:type="character" w:styleId="ListLabel75" w:customStyle="1">
    <w:name w:val="ListLabel 75"/>
    <w:qFormat/>
    <w:rPr>
      <w:rFonts w:cs="Wingdings"/>
      <w:sz w:val="20"/>
    </w:rPr>
  </w:style>
  <w:style w:type="character" w:styleId="ListLabel76" w:customStyle="1">
    <w:name w:val="ListLabel 76"/>
    <w:qFormat/>
    <w:rPr>
      <w:rFonts w:cs="Wingdings"/>
      <w:sz w:val="20"/>
    </w:rPr>
  </w:style>
  <w:style w:type="character" w:styleId="ListLabel77" w:customStyle="1">
    <w:name w:val="ListLabel 77"/>
    <w:qFormat/>
    <w:rPr>
      <w:rFonts w:cs="Wingdings"/>
      <w:sz w:val="20"/>
    </w:rPr>
  </w:style>
  <w:style w:type="character" w:styleId="ListLabel78" w:customStyle="1">
    <w:name w:val="ListLabel 78"/>
    <w:qFormat/>
    <w:rPr>
      <w:rFonts w:cs="Wingdings"/>
      <w:sz w:val="20"/>
    </w:rPr>
  </w:style>
  <w:style w:type="character" w:styleId="ListLabel79" w:customStyle="1">
    <w:name w:val="ListLabel 79"/>
    <w:qFormat/>
    <w:rPr>
      <w:rFonts w:cs="Wingdings"/>
      <w:sz w:val="20"/>
    </w:rPr>
  </w:style>
  <w:style w:type="character" w:styleId="ListLabel80" w:customStyle="1">
    <w:name w:val="ListLabel 80"/>
    <w:qFormat/>
    <w:rPr>
      <w:rFonts w:cs="Wingdings"/>
      <w:sz w:val="20"/>
    </w:rPr>
  </w:style>
  <w:style w:type="character" w:styleId="ListLabel81" w:customStyle="1">
    <w:name w:val="ListLabel 81"/>
    <w:qFormat/>
    <w:rPr>
      <w:rFonts w:cs="Wingdings"/>
      <w:sz w:val="20"/>
    </w:rPr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AE6AED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Contenidodelmarco" w:customStyle="1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redalyc.org/articulo.oa?id=275020546010" TargetMode="External" Id="rId6" /><Relationship Type="http://schemas.openxmlformats.org/officeDocument/2006/relationships/hyperlink" Target="http://www.ortegaygasset.edu/publicaciones/circunstancia/ano-iv---numero-11---septiembre-2006/investigaciones-en-curso/entre-el-genero-y-la-especie--reflexionando-sobre-la-naturaleza-de-la-politica-y-la-gestion-socia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</dc:creator>
  <dc:description/>
  <lastModifiedBy>Cynthia Ethel Bustelo</lastModifiedBy>
  <revision>6</revision>
  <dcterms:created xsi:type="dcterms:W3CDTF">2020-10-16T02:40:00.0000000Z</dcterms:created>
  <dcterms:modified xsi:type="dcterms:W3CDTF">2022-10-31T17:41:38.1434494Z</dcterms:modified>
  <dc:language>es-AR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