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8" w:rsidRDefault="002D48C8" w:rsidP="002D4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UNIVERSIDAD DE BUENOS AIRES</w:t>
      </w:r>
    </w:p>
    <w:p w:rsidR="002D48C8" w:rsidRDefault="002D48C8" w:rsidP="002D4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FACULTAD DE FILOSOFÍA Y LETRAS</w:t>
      </w:r>
    </w:p>
    <w:p w:rsidR="002D48C8" w:rsidRDefault="002D48C8" w:rsidP="002D48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MAESTRÍA EN GESTIÓN CULTURAL</w:t>
      </w:r>
    </w:p>
    <w:p w:rsidR="002D48C8" w:rsidRDefault="002D48C8" w:rsidP="002D48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PROFESORA A CARGO: Natalia </w:t>
      </w:r>
      <w:proofErr w:type="spellStart"/>
      <w:r>
        <w:rPr>
          <w:sz w:val="24"/>
          <w:szCs w:val="24"/>
        </w:rPr>
        <w:t>Calgano</w:t>
      </w:r>
      <w:proofErr w:type="spellEnd"/>
      <w:r>
        <w:rPr>
          <w:sz w:val="24"/>
          <w:szCs w:val="24"/>
        </w:rPr>
        <w:t xml:space="preserve"> - </w:t>
      </w:r>
      <w:r w:rsidRPr="002D48C8">
        <w:rPr>
          <w:sz w:val="24"/>
          <w:szCs w:val="24"/>
        </w:rPr>
        <w:t xml:space="preserve">Juan Manuel ZANABRIA; Gerardo SANCHEZ Carga horaria: 16 </w:t>
      </w:r>
      <w:proofErr w:type="spellStart"/>
      <w:r w:rsidRPr="002D48C8">
        <w:rPr>
          <w:sz w:val="24"/>
          <w:szCs w:val="24"/>
        </w:rPr>
        <w:t>hs</w:t>
      </w:r>
      <w:proofErr w:type="spellEnd"/>
      <w:r w:rsidRPr="002D48C8">
        <w:rPr>
          <w:sz w:val="24"/>
          <w:szCs w:val="24"/>
        </w:rPr>
        <w:t>.  1(un) crédito.</w:t>
      </w:r>
    </w:p>
    <w:p w:rsidR="002D48C8" w:rsidRPr="002D48C8" w:rsidRDefault="002D48C8" w:rsidP="002D48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AÑO: 2017 – 1er. cuatrimestre</w:t>
      </w:r>
    </w:p>
    <w:p w:rsidR="002D48C8" w:rsidRDefault="002D48C8" w:rsidP="002D48C8">
      <w:pPr>
        <w:spacing w:line="240" w:lineRule="auto"/>
        <w:rPr>
          <w:sz w:val="24"/>
          <w:szCs w:val="24"/>
        </w:rPr>
      </w:pPr>
      <w:r w:rsidRPr="002D48C8">
        <w:rPr>
          <w:sz w:val="24"/>
          <w:szCs w:val="24"/>
        </w:rPr>
        <w:t>Comienza: MARTES 30 DE MAYO al 27 de JUNIO – sede: PUÁN- de 18 a 22</w:t>
      </w:r>
    </w:p>
    <w:p w:rsidR="002D48C8" w:rsidRDefault="002D48C8" w:rsidP="002D48C8">
      <w:pPr>
        <w:spacing w:line="240" w:lineRule="auto"/>
        <w:rPr>
          <w:sz w:val="24"/>
          <w:szCs w:val="24"/>
        </w:rPr>
      </w:pPr>
    </w:p>
    <w:p w:rsidR="002D46B9" w:rsidRDefault="00BD065C" w:rsidP="002D48C8">
      <w:pPr>
        <w:spacing w:line="240" w:lineRule="auto"/>
        <w:jc w:val="center"/>
        <w:rPr>
          <w:sz w:val="36"/>
          <w:szCs w:val="36"/>
        </w:rPr>
      </w:pPr>
      <w:r w:rsidRPr="001E5013">
        <w:rPr>
          <w:sz w:val="36"/>
          <w:szCs w:val="36"/>
        </w:rPr>
        <w:t xml:space="preserve">Seminario: </w:t>
      </w:r>
      <w:r w:rsidR="002D48C8">
        <w:rPr>
          <w:sz w:val="36"/>
          <w:szCs w:val="36"/>
        </w:rPr>
        <w:t>“</w:t>
      </w:r>
      <w:r w:rsidRPr="002D48C8">
        <w:rPr>
          <w:i/>
          <w:sz w:val="36"/>
          <w:szCs w:val="36"/>
        </w:rPr>
        <w:t>Intercambios</w:t>
      </w:r>
      <w:r w:rsidRPr="002D48C8">
        <w:rPr>
          <w:rStyle w:val="yiv8330565901"/>
          <w:rFonts w:ascii="Segoe UI" w:hAnsi="Segoe UI" w:cs="Segoe UI"/>
          <w:i/>
          <w:color w:val="000000"/>
          <w:sz w:val="36"/>
          <w:szCs w:val="36"/>
          <w:shd w:val="clear" w:color="auto" w:fill="FFFFFF"/>
        </w:rPr>
        <w:t xml:space="preserve"> Culturales Internacionales</w:t>
      </w:r>
      <w:r w:rsidR="002D48C8">
        <w:rPr>
          <w:rStyle w:val="yiv8330565901"/>
          <w:rFonts w:ascii="Segoe UI" w:hAnsi="Segoe UI" w:cs="Segoe UI"/>
          <w:i/>
          <w:color w:val="000000"/>
          <w:sz w:val="36"/>
          <w:szCs w:val="36"/>
          <w:shd w:val="clear" w:color="auto" w:fill="FFFFFF"/>
        </w:rPr>
        <w:t>”</w:t>
      </w:r>
      <w:bookmarkStart w:id="0" w:name="_GoBack"/>
      <w:bookmarkEnd w:id="0"/>
    </w:p>
    <w:p w:rsidR="00BD065C" w:rsidRPr="00FD6F93" w:rsidRDefault="00BD065C" w:rsidP="00BD065C">
      <w:pPr>
        <w:pStyle w:val="Prrafodelista"/>
        <w:numPr>
          <w:ilvl w:val="0"/>
          <w:numId w:val="1"/>
        </w:numPr>
        <w:rPr>
          <w:b/>
        </w:rPr>
      </w:pPr>
      <w:r w:rsidRPr="00FD6F93">
        <w:rPr>
          <w:b/>
        </w:rPr>
        <w:t>Análisis del comercio exterior de biene</w:t>
      </w:r>
      <w:r w:rsidR="00A77089">
        <w:rPr>
          <w:b/>
        </w:rPr>
        <w:t>s y servicios culturales de la A</w:t>
      </w:r>
      <w:r w:rsidRPr="00FD6F93">
        <w:rPr>
          <w:b/>
        </w:rPr>
        <w:t xml:space="preserve">rgentina. </w:t>
      </w:r>
    </w:p>
    <w:p w:rsidR="00BD065C" w:rsidRDefault="00BD065C" w:rsidP="00A77089">
      <w:pPr>
        <w:pStyle w:val="Prrafodelista"/>
        <w:jc w:val="both"/>
      </w:pPr>
      <w:r>
        <w:t xml:space="preserve">Evolución histórica de la balanza comercial de bienes culturales.  Principales orígenes y destinos.  Examen de la región.  Crecimiento de los servicios en el comercio exterior. Principales componentes ¿Desmaterialización de los bienes culturales? Consecuencias. </w:t>
      </w:r>
    </w:p>
    <w:p w:rsidR="00FB656F" w:rsidRDefault="00FB656F" w:rsidP="00BD065C">
      <w:pPr>
        <w:pStyle w:val="Prrafodelista"/>
      </w:pPr>
    </w:p>
    <w:p w:rsidR="00FD6F93" w:rsidRPr="00FD6F93" w:rsidRDefault="00FD6F93" w:rsidP="00FD6F93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</w:pPr>
      <w:r w:rsidRPr="00FD6F93"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  <w:t xml:space="preserve"> Situación global de las Industrias Culturales en el Mercosur.</w:t>
      </w:r>
    </w:p>
    <w:p w:rsidR="00FD6F93" w:rsidRDefault="00FD6F93" w:rsidP="00A77089">
      <w:pPr>
        <w:pStyle w:val="Prrafodelista"/>
        <w:jc w:val="both"/>
      </w:pP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Las Industrias Culturales en el Mercosur. La dimensión económica y sociocultural. Conglomerados mediáticos. Entre la concentración económica y la diversidad cultural. </w:t>
      </w:r>
      <w:r w:rsidR="00A77089">
        <w:rPr>
          <w:rFonts w:ascii="Helvetica" w:hAnsi="Helvetica" w:cs="Helvetica"/>
          <w:color w:val="000000"/>
          <w:sz w:val="20"/>
          <w:szCs w:val="20"/>
          <w:lang w:val="es-AR"/>
        </w:rPr>
        <w:t>La incorporación de programas de Industrias Culturales/creativas en la política de los países del Mercosur.</w:t>
      </w:r>
    </w:p>
    <w:p w:rsidR="002D40B7" w:rsidRDefault="002D40B7" w:rsidP="00BD065C">
      <w:pPr>
        <w:pStyle w:val="Prrafodelista"/>
      </w:pPr>
    </w:p>
    <w:p w:rsidR="00BD065C" w:rsidRPr="00FD6F93" w:rsidRDefault="00BD065C" w:rsidP="00BD065C">
      <w:pPr>
        <w:pStyle w:val="Prrafodelista"/>
        <w:numPr>
          <w:ilvl w:val="0"/>
          <w:numId w:val="1"/>
        </w:numPr>
        <w:rPr>
          <w:b/>
        </w:rPr>
      </w:pPr>
      <w:r w:rsidRPr="00FD6F93">
        <w:rPr>
          <w:b/>
        </w:rPr>
        <w:t>Movilidad de los trabajadores de la cultura</w:t>
      </w:r>
      <w:r w:rsidR="002D40B7" w:rsidRPr="00FD6F93">
        <w:rPr>
          <w:b/>
        </w:rPr>
        <w:t>.</w:t>
      </w:r>
    </w:p>
    <w:p w:rsidR="00BD065C" w:rsidRDefault="00BD065C" w:rsidP="00BD065C">
      <w:pPr>
        <w:pStyle w:val="Prrafodelista"/>
      </w:pPr>
      <w:r>
        <w:t xml:space="preserve">Tramitación de la visa para artistas. Residencias para artistas. Líneas de financiamiento a la movilidad. Becas al exterior. </w:t>
      </w:r>
    </w:p>
    <w:p w:rsidR="00A77089" w:rsidRDefault="00A77089" w:rsidP="00BD065C">
      <w:pPr>
        <w:pStyle w:val="Prrafodelista"/>
      </w:pPr>
    </w:p>
    <w:p w:rsidR="00A77089" w:rsidRPr="00FD6F93" w:rsidRDefault="00A77089" w:rsidP="00A7708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Exportación e importación de obras de arte. Compra y venta de derechos en marco internacional</w:t>
      </w:r>
    </w:p>
    <w:p w:rsidR="002D40B7" w:rsidRDefault="00A77089" w:rsidP="00A77089">
      <w:pPr>
        <w:pStyle w:val="Prrafodelista"/>
      </w:pPr>
      <w:r>
        <w:t xml:space="preserve">Normativa para la movilidad temporaria o final de obras de arte, y para la compra/venta de derechos para la reproducción. Coediciones. </w:t>
      </w:r>
    </w:p>
    <w:p w:rsidR="00A77089" w:rsidRDefault="00A77089" w:rsidP="00A77089">
      <w:pPr>
        <w:pStyle w:val="Prrafodelista"/>
      </w:pPr>
    </w:p>
    <w:p w:rsidR="002D40B7" w:rsidRPr="00FD6F93" w:rsidRDefault="002D40B7" w:rsidP="002D40B7">
      <w:pPr>
        <w:pStyle w:val="Prrafodelista"/>
        <w:numPr>
          <w:ilvl w:val="0"/>
          <w:numId w:val="1"/>
        </w:numPr>
        <w:rPr>
          <w:b/>
        </w:rPr>
      </w:pPr>
      <w:r w:rsidRPr="00FD6F93">
        <w:rPr>
          <w:b/>
        </w:rPr>
        <w:t>Ferias Internacionales</w:t>
      </w:r>
    </w:p>
    <w:p w:rsidR="002D40B7" w:rsidRDefault="00A77089" w:rsidP="002D40B7">
      <w:pPr>
        <w:pStyle w:val="Prrafodelista"/>
      </w:pPr>
      <w:r>
        <w:t xml:space="preserve">Clasificación de las ferias. Rondas de negocios. </w:t>
      </w:r>
      <w:r w:rsidR="002D40B7">
        <w:t xml:space="preserve">Cronograma de ferias ¿Cómo participar? </w:t>
      </w:r>
      <w:r>
        <w:t xml:space="preserve">Criterios de selección y apoyos para participar. </w:t>
      </w:r>
      <w:r w:rsidR="002D40B7">
        <w:t>Temáticas.</w:t>
      </w:r>
    </w:p>
    <w:p w:rsidR="002D40B7" w:rsidRDefault="002D40B7" w:rsidP="002D40B7">
      <w:pPr>
        <w:pStyle w:val="Prrafodelista"/>
      </w:pPr>
    </w:p>
    <w:p w:rsidR="002D40B7" w:rsidRDefault="002D40B7" w:rsidP="002D40B7">
      <w:pPr>
        <w:pStyle w:val="Prrafodelista"/>
        <w:numPr>
          <w:ilvl w:val="0"/>
          <w:numId w:val="1"/>
        </w:numPr>
      </w:pPr>
      <w:r w:rsidRPr="00FD6F93">
        <w:rPr>
          <w:b/>
        </w:rPr>
        <w:t>Estudio de casos internacionales de emprendimientos de la cultura</w:t>
      </w:r>
      <w:r>
        <w:t xml:space="preserve">  </w:t>
      </w:r>
    </w:p>
    <w:p w:rsidR="002D40B7" w:rsidRDefault="002D40B7" w:rsidP="002D40B7">
      <w:pPr>
        <w:pStyle w:val="Prrafodelista"/>
      </w:pPr>
      <w:r>
        <w:t>Bogotá. Rio de Janeiro. Lima. Santiago de Chile</w:t>
      </w:r>
    </w:p>
    <w:p w:rsidR="002D40B7" w:rsidRDefault="002D40B7" w:rsidP="002D40B7">
      <w:pPr>
        <w:pStyle w:val="Prrafodelista"/>
      </w:pPr>
    </w:p>
    <w:p w:rsidR="002D40B7" w:rsidRDefault="002D40B7" w:rsidP="002D40B7">
      <w:pPr>
        <w:pStyle w:val="Prrafodelista"/>
        <w:numPr>
          <w:ilvl w:val="0"/>
          <w:numId w:val="1"/>
        </w:numPr>
      </w:pPr>
      <w:r w:rsidRPr="00FD6F93">
        <w:rPr>
          <w:b/>
        </w:rPr>
        <w:t>Estudio de casos de cooperación internacional.</w:t>
      </w:r>
      <w:r>
        <w:t xml:space="preserve">  </w:t>
      </w:r>
    </w:p>
    <w:p w:rsidR="002D40B7" w:rsidRDefault="002D40B7" w:rsidP="002D40B7">
      <w:pPr>
        <w:pStyle w:val="Prrafodelista"/>
      </w:pPr>
      <w:r>
        <w:t xml:space="preserve">Mercosur cultural. </w:t>
      </w:r>
      <w:r w:rsidR="00FD6F93">
        <w:t>Unesco.</w:t>
      </w:r>
      <w:r w:rsidR="00307CF7">
        <w:t xml:space="preserve"> SICSUR</w:t>
      </w:r>
      <w:r w:rsidR="00A77089">
        <w:t>. Pu</w:t>
      </w:r>
      <w:r w:rsidR="00C94163">
        <w:t>ntos de cultura. OEI y los programas IBER. ALBA Cultura.  Fundación BID.</w:t>
      </w:r>
    </w:p>
    <w:p w:rsidR="00A77089" w:rsidRDefault="00A77089" w:rsidP="00A77089">
      <w:pPr>
        <w:pStyle w:val="Prrafodelista"/>
      </w:pPr>
    </w:p>
    <w:p w:rsidR="00A77089" w:rsidRDefault="00A77089" w:rsidP="002D40B7">
      <w:pPr>
        <w:pStyle w:val="Prrafodelista"/>
      </w:pPr>
    </w:p>
    <w:p w:rsidR="00FD6F93" w:rsidRDefault="00FD6F93" w:rsidP="002D40B7">
      <w:pPr>
        <w:pStyle w:val="Prrafodelista"/>
      </w:pPr>
    </w:p>
    <w:p w:rsidR="00FD6F93" w:rsidRDefault="00FD6F93" w:rsidP="00A77089"/>
    <w:p w:rsidR="00FD6F93" w:rsidRDefault="00FD6F93" w:rsidP="002D40B7">
      <w:pPr>
        <w:pStyle w:val="Prrafodelista"/>
      </w:pPr>
    </w:p>
    <w:p w:rsidR="00FD6F93" w:rsidRDefault="00FD6F93" w:rsidP="002D40B7">
      <w:pPr>
        <w:pStyle w:val="Prrafodelista"/>
      </w:pPr>
    </w:p>
    <w:p w:rsidR="00BC49B2" w:rsidRDefault="00BC49B2" w:rsidP="00AD202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</w:pPr>
    </w:p>
    <w:p w:rsidR="00BC49B2" w:rsidRDefault="00BC49B2" w:rsidP="00AD202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</w:pPr>
    </w:p>
    <w:p w:rsidR="00BC49B2" w:rsidRDefault="00BC49B2" w:rsidP="00AD202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</w:pPr>
    </w:p>
    <w:p w:rsidR="00BC49B2" w:rsidRDefault="00BC49B2" w:rsidP="00AD202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</w:pPr>
    </w:p>
    <w:p w:rsidR="00FD6F93" w:rsidRPr="00AD202E" w:rsidRDefault="00FD6F93" w:rsidP="00AD202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</w:pPr>
      <w:r w:rsidRPr="00AD202E">
        <w:rPr>
          <w:rFonts w:ascii="Helvetica-Bold" w:hAnsi="Helvetica-Bold" w:cs="Helvetica-Bold"/>
          <w:b/>
          <w:bCs/>
          <w:color w:val="000000"/>
          <w:sz w:val="20"/>
          <w:szCs w:val="20"/>
          <w:lang w:val="es-AR"/>
        </w:rPr>
        <w:t>BIBLIOGRAFÍA</w:t>
      </w:r>
    </w:p>
    <w:p w:rsidR="00034624" w:rsidRDefault="00034624" w:rsidP="00FD6F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s-AR"/>
        </w:rPr>
      </w:pP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ALBA.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ALBA Cultura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. Consultado en 2015: http://www.albacultural.org/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proofErr w:type="gramStart"/>
      <w:r w:rsidRPr="002D48C8">
        <w:rPr>
          <w:rFonts w:ascii="Helvetica" w:hAnsi="Helvetica" w:cs="Helvetica"/>
          <w:color w:val="000000"/>
          <w:sz w:val="20"/>
          <w:szCs w:val="20"/>
          <w:lang w:val="en-US"/>
        </w:rPr>
        <w:t>BID.</w:t>
      </w:r>
      <w:proofErr w:type="gramEnd"/>
      <w:r w:rsidRPr="002D48C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proofErr w:type="gramStart"/>
      <w:r w:rsidRPr="002D48C8"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proofErr w:type="spellStart"/>
      <w:r w:rsidRPr="002D48C8">
        <w:rPr>
          <w:rFonts w:ascii="Helvetica" w:hAnsi="Helvetica" w:cs="Helvetica"/>
          <w:color w:val="000000"/>
          <w:sz w:val="20"/>
          <w:szCs w:val="20"/>
          <w:lang w:val="en-US"/>
        </w:rPr>
        <w:t>s.f.</w:t>
      </w:r>
      <w:proofErr w:type="spellEnd"/>
      <w:r w:rsidRPr="002D48C8">
        <w:rPr>
          <w:rFonts w:ascii="Helvetica" w:hAnsi="Helvetica" w:cs="Helvetica"/>
          <w:color w:val="000000"/>
          <w:sz w:val="20"/>
          <w:szCs w:val="20"/>
          <w:lang w:val="en-US"/>
        </w:rPr>
        <w:t>).</w:t>
      </w:r>
      <w:proofErr w:type="gramEnd"/>
      <w:r w:rsidRPr="002D48C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2D48C8">
        <w:rPr>
          <w:rFonts w:ascii="Helvetica" w:hAnsi="Helvetica" w:cs="Helvetica"/>
          <w:b/>
          <w:color w:val="000000"/>
          <w:sz w:val="20"/>
          <w:szCs w:val="20"/>
          <w:lang w:val="en-US"/>
        </w:rPr>
        <w:t xml:space="preserve">BID </w:t>
      </w:r>
      <w:proofErr w:type="spellStart"/>
      <w:r w:rsidRPr="002D48C8">
        <w:rPr>
          <w:rFonts w:ascii="Helvetica" w:hAnsi="Helvetica" w:cs="Helvetica"/>
          <w:b/>
          <w:color w:val="000000"/>
          <w:sz w:val="20"/>
          <w:szCs w:val="20"/>
          <w:lang w:val="en-US"/>
        </w:rPr>
        <w:t>Cultura</w:t>
      </w:r>
      <w:proofErr w:type="spellEnd"/>
      <w:r w:rsidRPr="002D48C8">
        <w:rPr>
          <w:rFonts w:ascii="Helvetica" w:hAnsi="Helvetica" w:cs="Helvetica"/>
          <w:b/>
          <w:color w:val="000000"/>
          <w:sz w:val="20"/>
          <w:szCs w:val="20"/>
          <w:lang w:val="en-US"/>
        </w:rPr>
        <w:t>.</w:t>
      </w:r>
      <w:r w:rsidRPr="002D48C8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Consultado en 2015, dhttp://www.iadb.org/es/temas/cultura/cultural-center/centro-cultural-del-bid,1664.html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CACI. (s.f.).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 xml:space="preserve">Programa </w:t>
      </w:r>
      <w:proofErr w:type="spellStart"/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IberMedia</w:t>
      </w:r>
      <w:proofErr w:type="spellEnd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. Consultado en 2015, de http://www.programaibermedia.es/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CEPAL. (2013).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Avanzar en la construcción de un espacio cultural compartido, Desarrollo de la carta Cultural.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Madrid: OEI.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CERLALC (s.f.)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Convención Internacional sobre Derechos de Autor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(1952). Revisado el 21 de noviembre de 2011. http://www.cerlalc.org/documentos/cupara.pdf 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CERLALC-UNESCO. (2012).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Espacio Iberoamericano del Libro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. Bogotá: CERLALC-UNESCO.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De Mora, R. (2010).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Sistemas de apoyos a las industrias del cine y la televisión en Iberoamérica ante el contexto digital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. Indicadores culturales 2012, 190-200.</w:t>
      </w:r>
    </w:p>
    <w:p w:rsidR="00034624" w:rsidRDefault="00034624" w:rsidP="00FD6F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s-AR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s-AR"/>
        </w:rPr>
        <w:t>Getino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s-AR"/>
        </w:rPr>
        <w:t>, O. (2000</w:t>
      </w:r>
      <w:r w:rsidRPr="009925EF">
        <w:rPr>
          <w:rFonts w:ascii="Helvetica" w:hAnsi="Helvetica" w:cs="Helvetica"/>
          <w:color w:val="000000"/>
          <w:sz w:val="20"/>
          <w:szCs w:val="20"/>
          <w:lang w:val="es-AR"/>
        </w:rPr>
        <w:t>).</w:t>
      </w:r>
      <w:r w:rsidRPr="009925EF">
        <w:rPr>
          <w:rFonts w:ascii="Helvetica" w:hAnsi="Helvetica" w:cs="Helvetica"/>
          <w:b/>
          <w:color w:val="000000"/>
          <w:sz w:val="20"/>
          <w:szCs w:val="20"/>
          <w:lang w:val="es-AR"/>
        </w:rPr>
        <w:t xml:space="preserve"> </w:t>
      </w:r>
      <w:hyperlink r:id="rId6" w:history="1">
        <w:r w:rsidRPr="009925EF">
          <w:rPr>
            <w:rFonts w:ascii="Helvetica" w:hAnsi="Helvetica" w:cs="Helvetica"/>
            <w:b/>
            <w:color w:val="000000"/>
            <w:sz w:val="20"/>
            <w:szCs w:val="20"/>
            <w:lang w:val="es-AR"/>
          </w:rPr>
          <w:t>Las industrias culturales del Mercosur</w:t>
        </w:r>
      </w:hyperlink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. </w:t>
      </w:r>
      <w:r w:rsidRPr="00E4227F">
        <w:rPr>
          <w:rFonts w:ascii="Helvetica" w:hAnsi="Helvetica" w:cs="Helvetica"/>
          <w:color w:val="000000"/>
          <w:sz w:val="20"/>
          <w:szCs w:val="20"/>
          <w:lang w:val="es-AR"/>
        </w:rPr>
        <w:t>Observatorio de Industrias Culturales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 </w:t>
      </w:r>
      <w:r w:rsidRPr="00E4227F">
        <w:rPr>
          <w:rFonts w:ascii="Helvetica" w:hAnsi="Helvetica" w:cs="Helvetica"/>
          <w:color w:val="000000"/>
          <w:sz w:val="20"/>
          <w:szCs w:val="20"/>
          <w:lang w:val="es-AR"/>
        </w:rPr>
        <w:t xml:space="preserve">de la Ciudad de Buenos 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A</w:t>
      </w:r>
      <w:r w:rsidRPr="00E4227F">
        <w:rPr>
          <w:rFonts w:ascii="Helvetica" w:hAnsi="Helvetica" w:cs="Helvetica"/>
          <w:color w:val="000000"/>
          <w:sz w:val="20"/>
          <w:szCs w:val="20"/>
          <w:lang w:val="es-AR"/>
        </w:rPr>
        <w:t>ires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. </w:t>
      </w:r>
    </w:p>
    <w:p w:rsidR="00034624" w:rsidRDefault="00034624" w:rsidP="00FD6F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s-AR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s-AR"/>
        </w:rPr>
        <w:t>Getino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, O. (2006). </w:t>
      </w:r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>El capital de la cultura</w:t>
      </w:r>
      <w:r w:rsidRPr="00034624">
        <w:rPr>
          <w:rFonts w:ascii="Helvetica" w:hAnsi="Helvetica" w:cs="Helvetica"/>
          <w:color w:val="000000"/>
          <w:sz w:val="20"/>
          <w:szCs w:val="20"/>
          <w:lang w:val="es-AR"/>
        </w:rPr>
        <w:t>. Las industrias culturales en Argentina y en la integración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 </w:t>
      </w:r>
      <w:r w:rsidRPr="00034624">
        <w:rPr>
          <w:rFonts w:ascii="Helvetica" w:hAnsi="Helvetica" w:cs="Helvetica"/>
          <w:color w:val="000000"/>
          <w:sz w:val="20"/>
          <w:szCs w:val="20"/>
          <w:lang w:val="es-AR"/>
        </w:rPr>
        <w:t>Mercosur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. Buenos Aires: Dirección de Publicaciones del Senado de la Nación Argentina.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proofErr w:type="spellStart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Maccari</w:t>
      </w:r>
      <w:proofErr w:type="spellEnd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, B., &amp; Montiel, P. (2012).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Gestión Cultural para el desarrollo.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Buenos Aires: Ariel, arte y patrimonio.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proofErr w:type="spellStart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Mastrini</w:t>
      </w:r>
      <w:proofErr w:type="spellEnd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, G., &amp; Becerra, M. (2010).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Estructura, concentración y transformaciones en los medios del Cono Sur latinoamericano.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Indicadores Culturales 2010, 178-189.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MERCOSUR. (2012)</w:t>
      </w:r>
      <w:proofErr w:type="gramStart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¿</w:t>
      </w:r>
      <w:proofErr w:type="gramEnd"/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Qué es la RECAM?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 Consultado en 2015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, de RECAM: http://www.recam.org/?do=recam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Ministerio Da Cultura - Brasil. (2013).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 xml:space="preserve">Cultura Viva </w:t>
      </w:r>
      <w:proofErr w:type="spellStart"/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em</w:t>
      </w:r>
      <w:proofErr w:type="spellEnd"/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 xml:space="preserve"> números 2004 - 2012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. Brasilia: Ministerio da Cultura.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Ministerio de Cultura del Perú. (s.f.).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Puntos de Cultura - Perú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. Consultado en 2015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, de http://www.puntosdecultura.pe/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OEA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OEA Cultura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. (s.f.).Consultado en 2015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, de https://www.oas.org/es/temas/cultura.asp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OEI. (s.f.). </w:t>
      </w:r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OEI Cultura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. Consultado en 2015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, de http://www.oei.es/cultura.php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lastRenderedPageBreak/>
        <w:t xml:space="preserve">Programa </w:t>
      </w:r>
      <w:proofErr w:type="spellStart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Ibermuseos</w:t>
      </w:r>
      <w:proofErr w:type="spellEnd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. (s.f.). </w:t>
      </w:r>
      <w:proofErr w:type="spellStart"/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Ibermuseus</w:t>
      </w:r>
      <w:proofErr w:type="spellEnd"/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Consultado en Julio de 2015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, de http://www.ibermuseus.org/es/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Programa </w:t>
      </w:r>
      <w:proofErr w:type="spellStart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Ibermúsica</w:t>
      </w:r>
      <w:proofErr w:type="spellEnd"/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. (s.f.). </w:t>
      </w:r>
      <w:proofErr w:type="spellStart"/>
      <w:r w:rsidRPr="00D671C9">
        <w:rPr>
          <w:rFonts w:ascii="Helvetica" w:hAnsi="Helvetica" w:cs="Helvetica"/>
          <w:b/>
          <w:color w:val="000000"/>
          <w:sz w:val="20"/>
          <w:szCs w:val="20"/>
          <w:lang w:val="es-AR"/>
        </w:rPr>
        <w:t>Ibermúsica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s-AR"/>
        </w:rPr>
        <w:t>. Consultado en 2015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, de http://www.ibermusicas.org/index.php/es/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Secretaría de Cultura de la Presidencia de la Nación. (s.f.). Puntos de Cultura. Consultado el Julio de 2013, de http://puntosdecultura.cultura.gob.ar/</w:t>
      </w:r>
    </w:p>
    <w:p w:rsidR="00034624" w:rsidRPr="00E36F08" w:rsidRDefault="00034624" w:rsidP="00FD6F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 xml:space="preserve">SICSUR (2012) </w:t>
      </w:r>
      <w:hyperlink r:id="rId7" w:history="1">
        <w:r w:rsidRPr="00034624">
          <w:rPr>
            <w:rStyle w:val="Hipervnculo"/>
            <w:rFonts w:ascii="Helvetica" w:hAnsi="Helvetica" w:cs="Helvetica"/>
            <w:b/>
            <w:color w:val="auto"/>
            <w:sz w:val="20"/>
            <w:szCs w:val="20"/>
            <w:u w:val="none"/>
            <w:lang w:val="es-AR"/>
          </w:rPr>
          <w:t>Los Estados de la Cultura. Estudio sobre la institucionalidad cultural pública de los países del SICSUR</w:t>
        </w:r>
      </w:hyperlink>
      <w:r w:rsidRPr="00034624">
        <w:rPr>
          <w:rFonts w:ascii="Helvetica" w:hAnsi="Helvetica" w:cs="Helvetica"/>
          <w:b/>
          <w:sz w:val="20"/>
          <w:szCs w:val="20"/>
          <w:lang w:val="es-AR"/>
        </w:rPr>
        <w:t>.</w:t>
      </w:r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Consejo N</w:t>
      </w:r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>acional de la Cultura y las Arte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s</w:t>
      </w:r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>,  Santiago de Chile. Cap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>itulo 1/ punto 2.3</w:t>
      </w:r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>.</w:t>
      </w:r>
    </w:p>
    <w:p w:rsidR="00034624" w:rsidRDefault="00034624" w:rsidP="00FD6F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s-AR"/>
        </w:rPr>
      </w:pPr>
      <w:r>
        <w:rPr>
          <w:rFonts w:ascii="Helvetica" w:hAnsi="Helvetica" w:cs="Helvetica"/>
          <w:color w:val="000000"/>
          <w:sz w:val="20"/>
          <w:szCs w:val="20"/>
          <w:lang w:val="es-AR"/>
        </w:rPr>
        <w:t>SICSUR</w:t>
      </w:r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>, Sis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tema de Información Cultural del Mercosur (2008) </w:t>
      </w:r>
      <w:hyperlink r:id="rId8" w:history="1">
        <w:r w:rsidRPr="00034624">
          <w:rPr>
            <w:rStyle w:val="Hipervnculo"/>
            <w:rFonts w:ascii="Helvetica" w:hAnsi="Helvetica" w:cs="Helvetica"/>
            <w:b/>
            <w:color w:val="auto"/>
            <w:sz w:val="20"/>
            <w:szCs w:val="20"/>
            <w:u w:val="none"/>
            <w:lang w:val="es-AR"/>
          </w:rPr>
          <w:t>Nosotros y los Otros: el comercio exterior de bienes culturales en América del Sur.</w:t>
        </w:r>
      </w:hyperlink>
      <w:r w:rsidRPr="00034624">
        <w:rPr>
          <w:rFonts w:ascii="Helvetica" w:hAnsi="Helvetica" w:cs="Helvetica"/>
          <w:b/>
          <w:sz w:val="20"/>
          <w:szCs w:val="20"/>
          <w:lang w:val="es-AR"/>
        </w:rPr>
        <w:t xml:space="preserve"> </w:t>
      </w:r>
      <w:r w:rsidRPr="00FD6F93">
        <w:rPr>
          <w:rFonts w:ascii="Helvetica" w:hAnsi="Helvetica" w:cs="Helvetica"/>
          <w:color w:val="000000"/>
          <w:sz w:val="20"/>
          <w:szCs w:val="20"/>
          <w:lang w:val="es-AR"/>
        </w:rPr>
        <w:t>Secretaría de Cultura de la Nación, Argentina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 .</w:t>
      </w:r>
      <w:r w:rsidRPr="00FD6F93">
        <w:rPr>
          <w:rFonts w:ascii="Helvetica" w:hAnsi="Helvetica" w:cs="Helvetica"/>
          <w:color w:val="000000"/>
          <w:sz w:val="20"/>
          <w:szCs w:val="20"/>
          <w:lang w:val="es-AR"/>
        </w:rPr>
        <w:t>Ministerio del Poder Popular para la Cultura, República Bolivariana de Venezuela.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SICSUR. (2012). </w:t>
      </w:r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>Informe Ejecutivo para la REDIC.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Buenos Aires: SICSUR.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SICSUR. (2012). </w:t>
      </w:r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>Sin medias tintas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>. Enclave Cultural, 22-23.</w:t>
      </w:r>
    </w:p>
    <w:p w:rsidR="00034624" w:rsidRDefault="00034624" w:rsidP="00FD6F9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s-AR"/>
        </w:rPr>
      </w:pPr>
      <w:proofErr w:type="spellStart"/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>SInCA</w:t>
      </w:r>
      <w:proofErr w:type="spellEnd"/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 xml:space="preserve">, Sistema de Información Cultural de la Argentina (2013) </w:t>
      </w:r>
      <w:hyperlink r:id="rId9" w:history="1">
        <w:r w:rsidRPr="00034624">
          <w:rPr>
            <w:rStyle w:val="Hipervnculo"/>
            <w:rFonts w:ascii="Helvetica" w:hAnsi="Helvetica" w:cs="Helvetica"/>
            <w:b/>
            <w:color w:val="auto"/>
            <w:sz w:val="20"/>
            <w:szCs w:val="20"/>
            <w:u w:val="none"/>
            <w:lang w:val="es-AR"/>
          </w:rPr>
          <w:t>Atlas Cultural de la Argentina.</w:t>
        </w:r>
      </w:hyperlink>
      <w:r w:rsidRPr="00E4227F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Ministerio de Cultura de la Nación, Argentina. </w:t>
      </w:r>
    </w:p>
    <w:p w:rsidR="00034624" w:rsidRPr="00034624" w:rsidRDefault="00034624" w:rsidP="0003462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lang w:val="es-AR"/>
        </w:rPr>
      </w:pPr>
      <w:proofErr w:type="spellStart"/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>SInCA</w:t>
      </w:r>
      <w:proofErr w:type="spellEnd"/>
      <w:r w:rsidRPr="00E36F08">
        <w:rPr>
          <w:rFonts w:ascii="Helvetica" w:hAnsi="Helvetica" w:cs="Helvetica"/>
          <w:color w:val="000000"/>
          <w:sz w:val="20"/>
          <w:szCs w:val="20"/>
          <w:lang w:val="es-AR"/>
        </w:rPr>
        <w:t>, Sistema de Información Cultural de la Argentina (2014</w:t>
      </w:r>
      <w:hyperlink r:id="rId10" w:history="1">
        <w:r w:rsidRPr="00034624">
          <w:rPr>
            <w:rStyle w:val="Hipervnculo"/>
            <w:rFonts w:ascii="Helvetica" w:hAnsi="Helvetica" w:cs="Helvetica"/>
            <w:b/>
            <w:color w:val="auto"/>
            <w:sz w:val="20"/>
            <w:szCs w:val="20"/>
            <w:u w:val="none"/>
            <w:lang w:val="es-AR"/>
          </w:rPr>
          <w:t>)  Coyuntura cultural. Informe de coyuntura económica sobre la cultura Argentina. Nro.6 a 11</w:t>
        </w:r>
      </w:hyperlink>
      <w:r w:rsidRPr="00034624">
        <w:rPr>
          <w:rFonts w:ascii="Helvetica" w:hAnsi="Helvetica" w:cs="Helvetica"/>
          <w:b/>
          <w:sz w:val="20"/>
          <w:szCs w:val="20"/>
          <w:lang w:val="es-AR"/>
        </w:rPr>
        <w:t xml:space="preserve">. 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Ministerio de Cultura de la Nación, Argentina. 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UNESCO (s. f.) </w:t>
      </w:r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>Tratado de Florencia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(1950). Protocolo de Nairobi 1976. Revisado el 21 de noviembre de 2011.http://portal.unesco.org/en/ev.php-URL_ID=12074&amp;URL_DO=D</w:t>
      </w:r>
      <w:r>
        <w:rPr>
          <w:rFonts w:ascii="Helvetica" w:hAnsi="Helvetica" w:cs="Helvetica"/>
          <w:color w:val="000000"/>
          <w:sz w:val="20"/>
          <w:szCs w:val="20"/>
          <w:lang w:val="es-AR"/>
        </w:rPr>
        <w:t xml:space="preserve">Ol _TOPIC&amp;URL_SECTION=201.html </w:t>
      </w:r>
    </w:p>
    <w:p w:rsidR="00034624" w:rsidRPr="00D671C9" w:rsidRDefault="00034624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  <w:r w:rsidRPr="00034624">
        <w:rPr>
          <w:rFonts w:ascii="Helvetica" w:hAnsi="Helvetica" w:cs="Helvetica"/>
          <w:color w:val="000000"/>
          <w:sz w:val="20"/>
          <w:szCs w:val="20"/>
          <w:lang w:val="es-AR"/>
        </w:rPr>
        <w:t xml:space="preserve">UNESCO. </w:t>
      </w:r>
      <w:proofErr w:type="spellStart"/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>Qhapaq</w:t>
      </w:r>
      <w:proofErr w:type="spellEnd"/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 xml:space="preserve"> </w:t>
      </w:r>
      <w:proofErr w:type="spellStart"/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>Ñan</w:t>
      </w:r>
      <w:proofErr w:type="spellEnd"/>
      <w:r w:rsidRPr="00034624">
        <w:rPr>
          <w:rFonts w:ascii="Helvetica" w:hAnsi="Helvetica" w:cs="Helvetica"/>
          <w:b/>
          <w:color w:val="000000"/>
          <w:sz w:val="20"/>
          <w:szCs w:val="20"/>
          <w:lang w:val="es-AR"/>
        </w:rPr>
        <w:t xml:space="preserve"> – Camino Principal Andino</w:t>
      </w:r>
      <w:r w:rsidRPr="00034624">
        <w:rPr>
          <w:rFonts w:ascii="Helvetica" w:hAnsi="Helvetica" w:cs="Helvetica"/>
          <w:color w:val="000000"/>
          <w:sz w:val="20"/>
          <w:szCs w:val="20"/>
          <w:lang w:val="es-AR"/>
        </w:rPr>
        <w:t>. Consultado en 2015, de http://whc.unesco.org/es/actividades/65/</w:t>
      </w:r>
      <w:r w:rsidRPr="00D671C9">
        <w:rPr>
          <w:rFonts w:ascii="Helvetica" w:hAnsi="Helvetica" w:cs="Helvetica"/>
          <w:color w:val="000000"/>
          <w:sz w:val="20"/>
          <w:szCs w:val="20"/>
          <w:lang w:val="es-AR"/>
        </w:rPr>
        <w:t xml:space="preserve"> </w:t>
      </w:r>
    </w:p>
    <w:p w:rsidR="00BD065C" w:rsidRPr="00D671C9" w:rsidRDefault="00BD065C" w:rsidP="00307CF7">
      <w:pPr>
        <w:rPr>
          <w:rFonts w:ascii="Helvetica" w:hAnsi="Helvetica" w:cs="Helvetica"/>
          <w:color w:val="000000"/>
          <w:sz w:val="20"/>
          <w:szCs w:val="20"/>
          <w:lang w:val="es-AR"/>
        </w:rPr>
      </w:pPr>
    </w:p>
    <w:sectPr w:rsidR="00BD065C" w:rsidRPr="00D671C9" w:rsidSect="00233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094B"/>
    <w:multiLevelType w:val="hybridMultilevel"/>
    <w:tmpl w:val="A9EA1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4DA5"/>
    <w:multiLevelType w:val="hybridMultilevel"/>
    <w:tmpl w:val="080AC8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5C"/>
    <w:rsid w:val="00034624"/>
    <w:rsid w:val="001E5013"/>
    <w:rsid w:val="00233F42"/>
    <w:rsid w:val="002D40B7"/>
    <w:rsid w:val="002D46B9"/>
    <w:rsid w:val="002D48C8"/>
    <w:rsid w:val="00307CF7"/>
    <w:rsid w:val="0040587A"/>
    <w:rsid w:val="00467A5B"/>
    <w:rsid w:val="00900FB6"/>
    <w:rsid w:val="009925EF"/>
    <w:rsid w:val="00A77089"/>
    <w:rsid w:val="00AD202E"/>
    <w:rsid w:val="00BC49B2"/>
    <w:rsid w:val="00BD065C"/>
    <w:rsid w:val="00C94163"/>
    <w:rsid w:val="00D671C9"/>
    <w:rsid w:val="00FB656F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8330565901">
    <w:name w:val="yiv8330565901"/>
    <w:basedOn w:val="Fuentedeprrafopredeter"/>
    <w:rsid w:val="00BD065C"/>
  </w:style>
  <w:style w:type="paragraph" w:styleId="Prrafodelista">
    <w:name w:val="List Paragraph"/>
    <w:basedOn w:val="Normal"/>
    <w:uiPriority w:val="34"/>
    <w:qFormat/>
    <w:rsid w:val="00BD0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6F93"/>
    <w:rPr>
      <w:color w:val="0000FF" w:themeColor="hyperlink"/>
      <w:u w:val="single"/>
    </w:rPr>
  </w:style>
  <w:style w:type="paragraph" w:customStyle="1" w:styleId="Default">
    <w:name w:val="Default"/>
    <w:rsid w:val="00FD6F93"/>
    <w:pPr>
      <w:autoSpaceDE w:val="0"/>
      <w:autoSpaceDN w:val="0"/>
      <w:adjustRightInd w:val="0"/>
      <w:spacing w:after="0" w:line="240" w:lineRule="auto"/>
    </w:pPr>
    <w:rPr>
      <w:rFonts w:ascii="Gotham Medium" w:eastAsia="DejaVu Sans" w:hAnsi="Gotham Medium" w:cs="Gotham Medium"/>
      <w:color w:val="000000"/>
      <w:sz w:val="24"/>
      <w:szCs w:val="24"/>
      <w:lang w:val="es-AR" w:eastAsia="es-AR"/>
    </w:rPr>
  </w:style>
  <w:style w:type="character" w:customStyle="1" w:styleId="yiv8966915315">
    <w:name w:val="yiv8966915315"/>
    <w:rsid w:val="002D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8330565901">
    <w:name w:val="yiv8330565901"/>
    <w:basedOn w:val="Fuentedeprrafopredeter"/>
    <w:rsid w:val="00BD065C"/>
  </w:style>
  <w:style w:type="paragraph" w:styleId="Prrafodelista">
    <w:name w:val="List Paragraph"/>
    <w:basedOn w:val="Normal"/>
    <w:uiPriority w:val="34"/>
    <w:qFormat/>
    <w:rsid w:val="00BD06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D6F93"/>
    <w:rPr>
      <w:color w:val="0000FF" w:themeColor="hyperlink"/>
      <w:u w:val="single"/>
    </w:rPr>
  </w:style>
  <w:style w:type="paragraph" w:customStyle="1" w:styleId="Default">
    <w:name w:val="Default"/>
    <w:rsid w:val="00FD6F93"/>
    <w:pPr>
      <w:autoSpaceDE w:val="0"/>
      <w:autoSpaceDN w:val="0"/>
      <w:adjustRightInd w:val="0"/>
      <w:spacing w:after="0" w:line="240" w:lineRule="auto"/>
    </w:pPr>
    <w:rPr>
      <w:rFonts w:ascii="Gotham Medium" w:eastAsia="DejaVu Sans" w:hAnsi="Gotham Medium" w:cs="Gotham Medium"/>
      <w:color w:val="000000"/>
      <w:sz w:val="24"/>
      <w:szCs w:val="24"/>
      <w:lang w:val="es-AR" w:eastAsia="es-AR"/>
    </w:rPr>
  </w:style>
  <w:style w:type="character" w:customStyle="1" w:styleId="yiv8966915315">
    <w:name w:val="yiv8966915315"/>
    <w:rsid w:val="002D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ca.cultura.gob.ar/sic/publicaciones/libros/comercio_exterior_sm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csur.org/archivos/publicaciones/Los_EstadosdelaCultur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nca.cultura.gov.ar/archivos/documentacion/investigaciones/ind_cult_en_el_mercosu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nca.cultura.gob.ar/sic/publicaciones/coyunturacultur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nca.cultura.gob.ar/sic/publicaciones/libros/Atlas-Cultural-de-la-Argentin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Graciela Fernandez Toledo</cp:lastModifiedBy>
  <cp:revision>2</cp:revision>
  <dcterms:created xsi:type="dcterms:W3CDTF">2016-11-22T18:48:00Z</dcterms:created>
  <dcterms:modified xsi:type="dcterms:W3CDTF">2016-11-22T18:48:00Z</dcterms:modified>
</cp:coreProperties>
</file>