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A942C" w14:textId="77777777" w:rsidR="00236FA5" w:rsidRDefault="00000000">
      <w:pPr>
        <w:pBdr>
          <w:top w:val="nil"/>
          <w:left w:val="nil"/>
          <w:bottom w:val="nil"/>
          <w:right w:val="nil"/>
          <w:between w:val="nil"/>
        </w:pBdr>
        <w:spacing w:before="240" w:after="60" w:line="240" w:lineRule="auto"/>
        <w:ind w:left="0" w:hanging="2"/>
        <w:jc w:val="center"/>
        <w:rPr>
          <w:rFonts w:ascii="Cambria" w:eastAsia="Cambria" w:hAnsi="Cambria" w:cs="Cambria"/>
          <w:b/>
          <w:sz w:val="32"/>
          <w:szCs w:val="32"/>
        </w:rPr>
      </w:pPr>
      <w:r>
        <w:rPr>
          <w:noProof/>
        </w:rPr>
        <w:drawing>
          <wp:anchor distT="0" distB="0" distL="0" distR="0" simplePos="0" relativeHeight="251658240" behindDoc="1" locked="0" layoutInCell="1" hidden="0" allowOverlap="1" wp14:anchorId="0BAA0410" wp14:editId="146A96CF">
            <wp:simplePos x="0" y="0"/>
            <wp:positionH relativeFrom="column">
              <wp:posOffset>-228599</wp:posOffset>
            </wp:positionH>
            <wp:positionV relativeFrom="paragraph">
              <wp:posOffset>-228599</wp:posOffset>
            </wp:positionV>
            <wp:extent cx="2461260" cy="160147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461260" cy="1601470"/>
                    </a:xfrm>
                    <a:prstGeom prst="rect">
                      <a:avLst/>
                    </a:prstGeom>
                    <a:ln/>
                  </pic:spPr>
                </pic:pic>
              </a:graphicData>
            </a:graphic>
          </wp:anchor>
        </w:drawing>
      </w:r>
    </w:p>
    <w:p w14:paraId="0E634A35" w14:textId="77777777" w:rsidR="00236FA5" w:rsidRDefault="00236FA5">
      <w:pPr>
        <w:pBdr>
          <w:top w:val="nil"/>
          <w:left w:val="nil"/>
          <w:bottom w:val="nil"/>
          <w:right w:val="nil"/>
          <w:between w:val="nil"/>
        </w:pBdr>
        <w:spacing w:before="240" w:after="60" w:line="240" w:lineRule="auto"/>
        <w:ind w:left="1" w:hanging="3"/>
        <w:jc w:val="center"/>
        <w:rPr>
          <w:rFonts w:ascii="Cambria" w:eastAsia="Cambria" w:hAnsi="Cambria" w:cs="Cambria"/>
          <w:b/>
          <w:sz w:val="32"/>
          <w:szCs w:val="32"/>
        </w:rPr>
      </w:pPr>
    </w:p>
    <w:p w14:paraId="12228E3A" w14:textId="77777777" w:rsidR="00236FA5" w:rsidRDefault="00236FA5">
      <w:pPr>
        <w:pBdr>
          <w:top w:val="nil"/>
          <w:left w:val="nil"/>
          <w:bottom w:val="nil"/>
          <w:right w:val="nil"/>
          <w:between w:val="nil"/>
        </w:pBdr>
        <w:spacing w:before="240" w:after="60" w:line="240" w:lineRule="auto"/>
        <w:ind w:left="1" w:hanging="3"/>
        <w:jc w:val="center"/>
        <w:rPr>
          <w:rFonts w:ascii="Cambria" w:eastAsia="Cambria" w:hAnsi="Cambria" w:cs="Cambria"/>
          <w:b/>
          <w:sz w:val="32"/>
          <w:szCs w:val="32"/>
        </w:rPr>
      </w:pPr>
    </w:p>
    <w:p w14:paraId="52B6F8AC" w14:textId="77777777" w:rsidR="00236FA5" w:rsidRDefault="00236FA5">
      <w:pPr>
        <w:pBdr>
          <w:top w:val="nil"/>
          <w:left w:val="nil"/>
          <w:bottom w:val="nil"/>
          <w:right w:val="nil"/>
          <w:between w:val="nil"/>
        </w:pBdr>
        <w:spacing w:before="240" w:after="60" w:line="240" w:lineRule="auto"/>
        <w:ind w:left="1" w:hanging="3"/>
        <w:jc w:val="center"/>
        <w:rPr>
          <w:rFonts w:ascii="Cambria" w:eastAsia="Cambria" w:hAnsi="Cambria" w:cs="Cambria"/>
          <w:b/>
          <w:sz w:val="32"/>
          <w:szCs w:val="32"/>
        </w:rPr>
      </w:pPr>
    </w:p>
    <w:p w14:paraId="506EC1C4" w14:textId="77777777" w:rsidR="00236FA5" w:rsidRDefault="00000000">
      <w:pPr>
        <w:pBdr>
          <w:top w:val="nil"/>
          <w:left w:val="nil"/>
          <w:bottom w:val="nil"/>
          <w:right w:val="nil"/>
          <w:between w:val="nil"/>
        </w:pBdr>
        <w:spacing w:before="240" w:after="60" w:line="240" w:lineRule="auto"/>
        <w:ind w:left="1" w:hanging="3"/>
        <w:jc w:val="center"/>
        <w:rPr>
          <w:rFonts w:ascii="Cambria" w:eastAsia="Cambria" w:hAnsi="Cambria" w:cs="Cambria"/>
          <w:b/>
          <w:color w:val="000000"/>
          <w:sz w:val="32"/>
          <w:szCs w:val="32"/>
        </w:rPr>
      </w:pPr>
      <w:r>
        <w:rPr>
          <w:rFonts w:ascii="Cambria" w:eastAsia="Cambria" w:hAnsi="Cambria" w:cs="Cambria"/>
          <w:b/>
          <w:color w:val="000000"/>
          <w:sz w:val="32"/>
          <w:szCs w:val="32"/>
        </w:rPr>
        <w:t>SEMINARIO DE CARRERA DE ESPECIALIZACIÓN EN ENSEÑANZA DEL ESPAÑOL COMO LENGUA SEGUNDA Y EXTRANJERA</w:t>
      </w:r>
    </w:p>
    <w:p w14:paraId="440C4987" w14:textId="77777777" w:rsidR="00236FA5" w:rsidRDefault="00000000">
      <w:pPr>
        <w:keepNext/>
        <w:numPr>
          <w:ilvl w:val="0"/>
          <w:numId w:val="1"/>
        </w:numPr>
        <w:pBdr>
          <w:top w:val="nil"/>
          <w:left w:val="nil"/>
          <w:bottom w:val="nil"/>
          <w:right w:val="nil"/>
          <w:between w:val="nil"/>
        </w:pBdr>
        <w:spacing w:before="240" w:after="60" w:line="240" w:lineRule="auto"/>
        <w:ind w:left="1" w:hanging="3"/>
        <w:jc w:val="center"/>
        <w:rPr>
          <w:rFonts w:ascii="Cambria" w:eastAsia="Cambria" w:hAnsi="Cambria" w:cs="Cambria"/>
          <w:b/>
          <w:color w:val="000000"/>
          <w:sz w:val="32"/>
          <w:szCs w:val="32"/>
        </w:rPr>
      </w:pPr>
      <w:r>
        <w:rPr>
          <w:rFonts w:ascii="Cambria" w:eastAsia="Cambria" w:hAnsi="Cambria" w:cs="Cambria"/>
          <w:b/>
          <w:color w:val="000000"/>
          <w:sz w:val="32"/>
          <w:szCs w:val="32"/>
        </w:rPr>
        <w:t>Niveles y evaluación</w:t>
      </w:r>
    </w:p>
    <w:p w14:paraId="266DAB44" w14:textId="77777777" w:rsidR="00236FA5" w:rsidRDefault="00236FA5">
      <w:pPr>
        <w:ind w:left="0" w:hanging="2"/>
      </w:pPr>
    </w:p>
    <w:p w14:paraId="585026C5" w14:textId="77777777" w:rsidR="00236FA5" w:rsidRDefault="00000000">
      <w:pPr>
        <w:ind w:left="0" w:hanging="2"/>
      </w:pPr>
      <w:r>
        <w:t>Docente a cargo: Dra. Vera Helena Jacovkis</w:t>
      </w:r>
    </w:p>
    <w:p w14:paraId="15EC2FF5" w14:textId="77777777" w:rsidR="00236FA5" w:rsidRDefault="00000000">
      <w:pPr>
        <w:ind w:left="0" w:hanging="2"/>
      </w:pPr>
      <w:r>
        <w:t>Carga horaria: 32 horas</w:t>
      </w:r>
    </w:p>
    <w:p w14:paraId="20F87C0F" w14:textId="639954B3" w:rsidR="00236FA5" w:rsidRDefault="00000000">
      <w:pPr>
        <w:ind w:left="0" w:hanging="2"/>
      </w:pPr>
      <w:r>
        <w:t>Cuatrimestre, año: 1° cuatrimestre, 202</w:t>
      </w:r>
      <w:r w:rsidR="009E16BB">
        <w:t>3</w:t>
      </w:r>
    </w:p>
    <w:p w14:paraId="77BC0BCF" w14:textId="77777777" w:rsidR="00236FA5" w:rsidRDefault="00236FA5">
      <w:pPr>
        <w:ind w:left="0" w:hanging="2"/>
      </w:pPr>
    </w:p>
    <w:p w14:paraId="041E0588" w14:textId="77777777" w:rsidR="00236FA5" w:rsidRDefault="00000000">
      <w:pPr>
        <w:keepNext/>
        <w:numPr>
          <w:ilvl w:val="1"/>
          <w:numId w:val="1"/>
        </w:numPr>
        <w:pBdr>
          <w:top w:val="nil"/>
          <w:left w:val="nil"/>
          <w:bottom w:val="nil"/>
          <w:right w:val="nil"/>
          <w:between w:val="nil"/>
        </w:pBdr>
        <w:spacing w:before="240" w:after="60" w:line="240" w:lineRule="auto"/>
        <w:ind w:left="1" w:hanging="3"/>
        <w:rPr>
          <w:rFonts w:ascii="Cambria" w:eastAsia="Cambria" w:hAnsi="Cambria" w:cs="Cambria"/>
          <w:b/>
          <w:i/>
          <w:color w:val="000000"/>
          <w:sz w:val="28"/>
          <w:szCs w:val="28"/>
        </w:rPr>
      </w:pPr>
      <w:r>
        <w:rPr>
          <w:rFonts w:ascii="Cambria" w:eastAsia="Cambria" w:hAnsi="Cambria" w:cs="Cambria"/>
          <w:b/>
          <w:i/>
          <w:color w:val="000000"/>
          <w:sz w:val="28"/>
          <w:szCs w:val="28"/>
        </w:rPr>
        <w:t>Fundamentación</w:t>
      </w:r>
    </w:p>
    <w:p w14:paraId="0EC6D34E" w14:textId="77777777" w:rsidR="00236FA5" w:rsidRDefault="00236FA5">
      <w:pPr>
        <w:ind w:left="0" w:hanging="2"/>
      </w:pPr>
    </w:p>
    <w:p w14:paraId="7CA500D8" w14:textId="77777777" w:rsidR="00236FA5" w:rsidRDefault="00000000">
      <w:pPr>
        <w:ind w:left="0" w:hanging="2"/>
      </w:pPr>
      <w:r>
        <w:t xml:space="preserve">       </w:t>
      </w:r>
      <w:r>
        <w:tab/>
        <w:t>En la enseñanza de ELSE, la evaluación tiene un lugar central no solo por su relevancia en el aula (en tanto diagnóstico para los profesores/as, o para que los/as alumnos/as conozcan sus propias fortalezas y debilidades, etc.), sino también por el rol que tienen los exámenes y certificaciones a nivel social, en términos institucionales, políticos y culturales.</w:t>
      </w:r>
    </w:p>
    <w:p w14:paraId="611E506F" w14:textId="77777777" w:rsidR="00236FA5" w:rsidRDefault="00000000">
      <w:pPr>
        <w:ind w:left="0" w:hanging="2"/>
      </w:pPr>
      <w:r>
        <w:t xml:space="preserve">        </w:t>
      </w:r>
      <w:r>
        <w:tab/>
        <w:t>Existen diferentes tipos de evaluación, según el contexto en que se implementen, las necesidades específicas de cada situación, del/la docente, de los/as alumnos/as, de la institución. Pero además, existen en la enseñanza de la lengua diferentes constructos que guían el modo de evaluar o el formato de la evaluación, es decir, diferentes modelos de lengua de acuerdo a los cuales se organizan diferentes formas de evaluar, según qué se estime que implica “saber una lengua” y de qué modo, a partir de qué métodos, se piense que se puede llegar a ese conocimiento y, también, evaluarlo.</w:t>
      </w:r>
    </w:p>
    <w:p w14:paraId="630096CD" w14:textId="77777777" w:rsidR="00236FA5" w:rsidRDefault="00000000">
      <w:pPr>
        <w:ind w:left="0" w:hanging="2"/>
      </w:pPr>
      <w:r>
        <w:t xml:space="preserve">        </w:t>
      </w:r>
      <w:r>
        <w:tab/>
        <w:t>El objetivo de este seminario es reflexionar acerca de la evaluación de la lengua a partir del acercamiento a nociones centrales del área y brindarles herramientas a los/as docentes o futuros/as docentes de ELSE para que puedan elaborar exámenes acordes a cada contexto educativo particular.</w:t>
      </w:r>
    </w:p>
    <w:p w14:paraId="28A62691" w14:textId="77777777" w:rsidR="00236FA5" w:rsidRDefault="00000000">
      <w:pPr>
        <w:ind w:left="0" w:hanging="2"/>
      </w:pPr>
      <w:r>
        <w:t xml:space="preserve">        </w:t>
      </w:r>
      <w:r>
        <w:tab/>
        <w:t xml:space="preserve">El seminario se organiza, entonces, en cuatro unidades. En primer lugar, nos planteamos qué significa “saber una lengua” para ver de qué modo la descripción de la lengua impacta en la construcción de una evaluación. Nos centramos en el concepto de “competencia comunicativa” para revisar cómo se establecen las escalas y descriptores en el Marco Común Europeo de Referencia y en el sistema del Laboratorio de Idiomas de la Facultad de Filosofía y Letras, y de qué modo pasamos de la descripción de los </w:t>
      </w:r>
      <w:r>
        <w:lastRenderedPageBreak/>
        <w:t>niveles de lengua a su evaluación. La segunda unidad se centra en la elaboración de exámenes. Se analizan los distintos tipos de examen y las diferentes formas de evaluar para pensar cómo la situación educativa determina el tipo de evaluación que se lleva adelante, de qué modo el propósito de un examen condiciona su preparación. La tercera unidad se focaliza en la administración del examen y en las diferentes características que este debe tener ‒confiabilidad, validez, autenticidad, impacto y viabilidad‒ así como los materiales con los cuales trabajar según el tipo de evaluación propuesta: claves de corrección, grillas analíticas, bandas holísticas. Procuramos además centrarnos en algunas de las dificultades actuales involucradas en la implementación reciente de exámenes en entorno digital, para examinar logros y desafíos. Finalmente, la cuarta unidad se centra en la importancia social de la evaluación, en el impacto que tiene en la enseñanza y la educación en general (</w:t>
      </w:r>
      <w:r>
        <w:rPr>
          <w:i/>
        </w:rPr>
        <w:t>washback</w:t>
      </w:r>
      <w:r>
        <w:t>), en las decisiones que se toman a partir de los resultados, tanto a nivel institucional como a nivel estatal.</w:t>
      </w:r>
    </w:p>
    <w:p w14:paraId="09225854" w14:textId="77777777" w:rsidR="00236FA5" w:rsidRDefault="00000000">
      <w:pPr>
        <w:ind w:left="0" w:hanging="2"/>
      </w:pPr>
      <w:r>
        <w:t xml:space="preserve">        </w:t>
      </w:r>
      <w:r>
        <w:tab/>
        <w:t>Partimos del presupuesto de que el conocimiento y el estudio en torno a la evaluación puede orientar a los/as docentes no solo a evaluar la competencia lingüística de hablantes extranjeros/as, sino también a transformar y aplicar sus conocimientos a situaciones nuevas de enseñanza y de producción de material didáctico, a proyectar programaciones, a planificar de forma adecuada el proceso general de enseñanza-aprendizaje.</w:t>
      </w:r>
    </w:p>
    <w:p w14:paraId="05A34538" w14:textId="77777777" w:rsidR="00236FA5" w:rsidRDefault="00236FA5">
      <w:pPr>
        <w:ind w:left="0" w:hanging="2"/>
      </w:pPr>
    </w:p>
    <w:p w14:paraId="63A31962" w14:textId="77777777" w:rsidR="00236FA5" w:rsidRDefault="00236FA5">
      <w:pPr>
        <w:ind w:left="0" w:hanging="2"/>
      </w:pPr>
    </w:p>
    <w:p w14:paraId="0311AC9B" w14:textId="77777777" w:rsidR="00236FA5" w:rsidRDefault="00000000">
      <w:pPr>
        <w:keepNext/>
        <w:numPr>
          <w:ilvl w:val="1"/>
          <w:numId w:val="1"/>
        </w:numPr>
        <w:pBdr>
          <w:top w:val="nil"/>
          <w:left w:val="nil"/>
          <w:bottom w:val="nil"/>
          <w:right w:val="nil"/>
          <w:between w:val="nil"/>
        </w:pBdr>
        <w:spacing w:before="240" w:after="60" w:line="240" w:lineRule="auto"/>
        <w:ind w:left="1" w:hanging="3"/>
        <w:rPr>
          <w:rFonts w:ascii="Cambria" w:eastAsia="Cambria" w:hAnsi="Cambria" w:cs="Cambria"/>
          <w:b/>
          <w:i/>
          <w:color w:val="000000"/>
          <w:sz w:val="28"/>
          <w:szCs w:val="28"/>
        </w:rPr>
      </w:pPr>
      <w:r>
        <w:rPr>
          <w:rFonts w:ascii="Cambria" w:eastAsia="Cambria" w:hAnsi="Cambria" w:cs="Cambria"/>
          <w:b/>
          <w:i/>
          <w:color w:val="000000"/>
          <w:sz w:val="28"/>
          <w:szCs w:val="28"/>
        </w:rPr>
        <w:t>Objetivos</w:t>
      </w:r>
    </w:p>
    <w:p w14:paraId="58176E47" w14:textId="77777777" w:rsidR="00236FA5" w:rsidRDefault="00236FA5">
      <w:pPr>
        <w:keepNext/>
        <w:numPr>
          <w:ilvl w:val="1"/>
          <w:numId w:val="1"/>
        </w:numPr>
        <w:pBdr>
          <w:top w:val="nil"/>
          <w:left w:val="nil"/>
          <w:bottom w:val="nil"/>
          <w:right w:val="nil"/>
          <w:between w:val="nil"/>
        </w:pBdr>
        <w:spacing w:before="240" w:after="60" w:line="240" w:lineRule="auto"/>
        <w:ind w:left="1" w:hanging="3"/>
        <w:rPr>
          <w:rFonts w:ascii="Cambria" w:eastAsia="Cambria" w:hAnsi="Cambria" w:cs="Cambria"/>
          <w:b/>
          <w:i/>
          <w:sz w:val="28"/>
          <w:szCs w:val="28"/>
        </w:rPr>
      </w:pPr>
    </w:p>
    <w:p w14:paraId="15EE8DF0" w14:textId="77777777" w:rsidR="00236FA5" w:rsidRDefault="00000000">
      <w:pPr>
        <w:ind w:left="0" w:hanging="2"/>
      </w:pPr>
      <w:r>
        <w:t>Que los y las estudiantes:</w:t>
      </w:r>
    </w:p>
    <w:p w14:paraId="7BC7E921" w14:textId="77777777" w:rsidR="00236FA5" w:rsidRDefault="00236FA5">
      <w:pPr>
        <w:ind w:left="0" w:hanging="2"/>
      </w:pPr>
    </w:p>
    <w:p w14:paraId="3F4798FD" w14:textId="77777777" w:rsidR="00236FA5" w:rsidRDefault="00000000">
      <w:pPr>
        <w:ind w:left="0" w:hanging="2"/>
      </w:pPr>
      <w:r>
        <w:t>- Se familiaricen con conceptos centrales del área de evaluación</w:t>
      </w:r>
    </w:p>
    <w:p w14:paraId="38C50172" w14:textId="77777777" w:rsidR="00236FA5" w:rsidRDefault="00000000">
      <w:pPr>
        <w:ind w:left="0" w:hanging="2"/>
      </w:pPr>
      <w:r>
        <w:t>- Conozcan y puedan estudiar críticamente descriptores y escalas estandarizados</w:t>
      </w:r>
    </w:p>
    <w:p w14:paraId="78D53C97" w14:textId="77777777" w:rsidR="00236FA5" w:rsidRDefault="00000000">
      <w:pPr>
        <w:ind w:left="0" w:hanging="2"/>
      </w:pPr>
      <w:r>
        <w:t>- Sean capaces de analizar exámenes y certificaciones actuales, sus características y definiciones</w:t>
      </w:r>
    </w:p>
    <w:p w14:paraId="27826651" w14:textId="77777777" w:rsidR="00236FA5" w:rsidRDefault="00000000">
      <w:pPr>
        <w:ind w:left="0" w:hanging="2"/>
      </w:pPr>
      <w:r>
        <w:t>- Adquieran herramientas para el diseño y elaboración de exámenes y actividades de evaluación acordes con las necesidades de cada contexto educativo específico y de cada etapa del proceso de enseñanza-aprendizaje</w:t>
      </w:r>
    </w:p>
    <w:p w14:paraId="509BF5D6" w14:textId="77777777" w:rsidR="00236FA5" w:rsidRDefault="00000000">
      <w:pPr>
        <w:ind w:left="0" w:hanging="2"/>
      </w:pPr>
      <w:r>
        <w:t xml:space="preserve"> </w:t>
      </w:r>
    </w:p>
    <w:p w14:paraId="0A32E65E" w14:textId="77777777" w:rsidR="00236FA5" w:rsidRDefault="00236FA5">
      <w:pPr>
        <w:ind w:left="0" w:hanging="2"/>
      </w:pPr>
    </w:p>
    <w:p w14:paraId="5DBC4C89" w14:textId="77777777" w:rsidR="00236FA5" w:rsidRDefault="00000000">
      <w:pPr>
        <w:keepNext/>
        <w:numPr>
          <w:ilvl w:val="2"/>
          <w:numId w:val="1"/>
        </w:numPr>
        <w:pBdr>
          <w:top w:val="nil"/>
          <w:left w:val="nil"/>
          <w:bottom w:val="nil"/>
          <w:right w:val="nil"/>
          <w:between w:val="nil"/>
        </w:pBdr>
        <w:spacing w:before="240" w:after="60" w:line="240" w:lineRule="auto"/>
        <w:ind w:left="1" w:hanging="3"/>
        <w:rPr>
          <w:rFonts w:ascii="Cambria" w:eastAsia="Cambria" w:hAnsi="Cambria" w:cs="Cambria"/>
          <w:b/>
          <w:color w:val="000000"/>
          <w:sz w:val="26"/>
          <w:szCs w:val="26"/>
          <w:u w:val="single"/>
        </w:rPr>
      </w:pPr>
      <w:r>
        <w:rPr>
          <w:rFonts w:ascii="Cambria" w:eastAsia="Cambria" w:hAnsi="Cambria" w:cs="Cambria"/>
          <w:b/>
          <w:color w:val="000000"/>
          <w:sz w:val="26"/>
          <w:szCs w:val="26"/>
          <w:u w:val="single"/>
        </w:rPr>
        <w:t xml:space="preserve">Unidad 1: De la descripción de lengua a su evaluación. </w:t>
      </w:r>
    </w:p>
    <w:p w14:paraId="1BD0F9F1" w14:textId="77777777" w:rsidR="00236FA5" w:rsidRDefault="00000000">
      <w:pPr>
        <w:keepNext/>
        <w:numPr>
          <w:ilvl w:val="3"/>
          <w:numId w:val="1"/>
        </w:numPr>
        <w:pBdr>
          <w:top w:val="nil"/>
          <w:left w:val="nil"/>
          <w:bottom w:val="nil"/>
          <w:right w:val="nil"/>
          <w:between w:val="nil"/>
        </w:pBdr>
        <w:spacing w:before="240" w:after="60" w:line="240" w:lineRule="auto"/>
        <w:ind w:left="1" w:hanging="3"/>
        <w:rPr>
          <w:b/>
          <w:color w:val="000000"/>
          <w:sz w:val="28"/>
          <w:szCs w:val="28"/>
        </w:rPr>
      </w:pPr>
      <w:r>
        <w:rPr>
          <w:b/>
          <w:color w:val="000000"/>
          <w:sz w:val="28"/>
          <w:szCs w:val="28"/>
        </w:rPr>
        <w:t xml:space="preserve">Contenidos: </w:t>
      </w:r>
    </w:p>
    <w:p w14:paraId="3B1141AE" w14:textId="77777777" w:rsidR="00236FA5" w:rsidRDefault="00000000">
      <w:pPr>
        <w:ind w:left="0" w:hanging="2"/>
      </w:pPr>
      <w:r>
        <w:t xml:space="preserve">Saber una lengua: modelos de competencia lingüística. La competencia comunicativa. Proficiencia y dominio de una lengua. Noción de nivel: descripción y componentes. Escalas y descriptores del MCER y del Laboratorio de Idiomas. De la descripción de lengua a su evaluación. </w:t>
      </w:r>
    </w:p>
    <w:p w14:paraId="201193B8" w14:textId="77777777" w:rsidR="00236FA5" w:rsidRDefault="00236FA5">
      <w:pPr>
        <w:ind w:left="0" w:hanging="2"/>
      </w:pPr>
    </w:p>
    <w:p w14:paraId="5D5CB5B6" w14:textId="77777777" w:rsidR="00236FA5" w:rsidRDefault="00000000">
      <w:pPr>
        <w:keepNext/>
        <w:numPr>
          <w:ilvl w:val="3"/>
          <w:numId w:val="1"/>
        </w:numPr>
        <w:pBdr>
          <w:top w:val="nil"/>
          <w:left w:val="nil"/>
          <w:bottom w:val="nil"/>
          <w:right w:val="nil"/>
          <w:between w:val="nil"/>
        </w:pBdr>
        <w:spacing w:before="240" w:after="60" w:line="240" w:lineRule="auto"/>
        <w:ind w:left="1" w:hanging="3"/>
        <w:rPr>
          <w:b/>
          <w:color w:val="000000"/>
          <w:sz w:val="28"/>
          <w:szCs w:val="28"/>
        </w:rPr>
      </w:pPr>
      <w:r>
        <w:rPr>
          <w:b/>
          <w:color w:val="000000"/>
          <w:sz w:val="28"/>
          <w:szCs w:val="28"/>
        </w:rPr>
        <w:lastRenderedPageBreak/>
        <w:t>Bibliografía obligatoria:</w:t>
      </w:r>
    </w:p>
    <w:p w14:paraId="48B3E5FA" w14:textId="77777777" w:rsidR="00236FA5" w:rsidRDefault="00000000">
      <w:pPr>
        <w:ind w:left="0" w:hanging="2"/>
      </w:pPr>
      <w:r>
        <w:t xml:space="preserve">Bachman, L.  (1990). “Communicative Language Ability”, traducido en: </w:t>
      </w:r>
      <w:r>
        <w:rPr>
          <w:i/>
        </w:rPr>
        <w:t>Competencia comunicativa, documentos básicos en la enseñanza de lenguas extranjeras</w:t>
      </w:r>
      <w:r>
        <w:t>. Madrid, Edelsa-Grupo Didascalia, 1995.</w:t>
      </w:r>
    </w:p>
    <w:p w14:paraId="388A8003" w14:textId="77777777" w:rsidR="00236FA5" w:rsidRDefault="00236FA5">
      <w:pPr>
        <w:ind w:left="0" w:hanging="2"/>
      </w:pPr>
    </w:p>
    <w:p w14:paraId="345DC4EA" w14:textId="77777777" w:rsidR="00236FA5" w:rsidRDefault="00000000">
      <w:pPr>
        <w:ind w:left="0" w:hanging="2"/>
      </w:pPr>
      <w:r>
        <w:t xml:space="preserve">Canale, M.  (1983).  “From communicative competence to communicative language pedagogy”. Trad. en: </w:t>
      </w:r>
      <w:r>
        <w:rPr>
          <w:i/>
        </w:rPr>
        <w:t>Competencia comunicativa, documentos básicos en la enseñanza de lenguas extranjeras</w:t>
      </w:r>
      <w:r>
        <w:t>,  Madrid, Edelsa-Grupo Didascalia, 1995.</w:t>
      </w:r>
    </w:p>
    <w:p w14:paraId="0C5805F9" w14:textId="77777777" w:rsidR="00236FA5" w:rsidRDefault="00236FA5">
      <w:pPr>
        <w:ind w:left="0" w:hanging="2"/>
      </w:pPr>
    </w:p>
    <w:p w14:paraId="27E9E771" w14:textId="77777777" w:rsidR="00236FA5" w:rsidRDefault="00000000">
      <w:pPr>
        <w:ind w:left="0" w:hanging="2"/>
      </w:pPr>
      <w:r>
        <w:t xml:space="preserve">Consejo de Europa (2001). “Capítulo 3: Niveles comunes de referencia”. En </w:t>
      </w:r>
      <w:r>
        <w:rPr>
          <w:i/>
        </w:rPr>
        <w:t>Marco común europeo de referencia para las lenguas: aprendizaje, enseñanza, evaluación</w:t>
      </w:r>
      <w:r>
        <w:t xml:space="preserve">. Disponible en http://cvc.cervantes.es/obref/marco/  </w:t>
      </w:r>
    </w:p>
    <w:p w14:paraId="5360A68D" w14:textId="77777777" w:rsidR="00236FA5" w:rsidRDefault="00236FA5">
      <w:pPr>
        <w:ind w:left="0" w:hanging="2"/>
      </w:pPr>
    </w:p>
    <w:p w14:paraId="3DE25A85" w14:textId="77777777" w:rsidR="00236FA5" w:rsidRDefault="00000000">
      <w:pPr>
        <w:ind w:left="0" w:hanging="2"/>
      </w:pPr>
      <w:r>
        <w:t>Laboratorio de Idiomas.  Cuadro comparativo de niveles. Descriptores de etapas. Niveles y Programas (publicación interna).</w:t>
      </w:r>
    </w:p>
    <w:p w14:paraId="2FB77E5A" w14:textId="77777777" w:rsidR="00236FA5" w:rsidRDefault="00236FA5">
      <w:pPr>
        <w:ind w:left="0" w:hanging="2"/>
      </w:pPr>
    </w:p>
    <w:p w14:paraId="2D771AF6" w14:textId="77777777" w:rsidR="00236FA5" w:rsidRDefault="00000000">
      <w:pPr>
        <w:ind w:left="0" w:hanging="2"/>
      </w:pPr>
      <w:r>
        <w:t xml:space="preserve">Scaramucci, M. V. R. (2000); “Proficiência em LE: considerações terminológicas e conceituais” en </w:t>
      </w:r>
      <w:r>
        <w:rPr>
          <w:i/>
        </w:rPr>
        <w:t>Trabalhos Linguística Aplicada</w:t>
      </w:r>
      <w:r>
        <w:t>, Campinas, (36), pp. 11-22.</w:t>
      </w:r>
    </w:p>
    <w:p w14:paraId="4D522828" w14:textId="77777777" w:rsidR="00236FA5" w:rsidRDefault="00236FA5">
      <w:pPr>
        <w:ind w:left="0" w:hanging="2"/>
      </w:pPr>
    </w:p>
    <w:p w14:paraId="63DB69BC" w14:textId="77777777" w:rsidR="00236FA5" w:rsidRDefault="00000000">
      <w:pPr>
        <w:keepNext/>
        <w:numPr>
          <w:ilvl w:val="3"/>
          <w:numId w:val="1"/>
        </w:numPr>
        <w:spacing w:before="240" w:after="60"/>
        <w:ind w:left="1" w:hanging="3"/>
      </w:pPr>
      <w:r>
        <w:rPr>
          <w:b/>
          <w:sz w:val="28"/>
          <w:szCs w:val="28"/>
        </w:rPr>
        <w:t>Bibliografía complementaria:</w:t>
      </w:r>
    </w:p>
    <w:p w14:paraId="73743E04" w14:textId="77777777" w:rsidR="00236FA5" w:rsidRDefault="00236FA5">
      <w:pPr>
        <w:ind w:left="0" w:hanging="2"/>
      </w:pPr>
    </w:p>
    <w:p w14:paraId="4D7C0ECC" w14:textId="77777777" w:rsidR="00236FA5" w:rsidRDefault="00000000">
      <w:pPr>
        <w:spacing w:line="288" w:lineRule="auto"/>
        <w:ind w:left="0" w:hanging="2"/>
      </w:pPr>
      <w:r>
        <w:t xml:space="preserve">Cenoz, J. (1996). “La competencia comunicativa: su origen y componentes”. En Cenoz, J. y Valencia (eds), </w:t>
      </w:r>
      <w:r>
        <w:rPr>
          <w:i/>
        </w:rPr>
        <w:t>La competencia pragmática: elementos lingüísticos y psicosociales</w:t>
      </w:r>
      <w:r>
        <w:t>, Bilbao, Universidad del País Vasco.</w:t>
      </w:r>
    </w:p>
    <w:p w14:paraId="2B507EF4" w14:textId="77777777" w:rsidR="00236FA5" w:rsidRDefault="00236FA5">
      <w:pPr>
        <w:ind w:left="0" w:hanging="2"/>
      </w:pPr>
    </w:p>
    <w:p w14:paraId="4A231E1F" w14:textId="77777777" w:rsidR="00236FA5" w:rsidRDefault="00000000">
      <w:pPr>
        <w:ind w:left="0" w:hanging="2"/>
      </w:pPr>
      <w:r>
        <w:t xml:space="preserve">Consejo de Europa (2001). “Capítulo 5: Las competencias del usuario o alumno”. En </w:t>
      </w:r>
      <w:r>
        <w:rPr>
          <w:i/>
        </w:rPr>
        <w:t>Marco común europeo de referencia para las lenguas: aprendizaje, enseñanza, evaluación</w:t>
      </w:r>
      <w:r>
        <w:t xml:space="preserve">. Disponible en http://cvc.cervantes.es/obref/marco/  </w:t>
      </w:r>
    </w:p>
    <w:p w14:paraId="4047700A" w14:textId="77777777" w:rsidR="00236FA5" w:rsidRDefault="00236FA5">
      <w:pPr>
        <w:ind w:left="0" w:hanging="2"/>
      </w:pPr>
    </w:p>
    <w:p w14:paraId="0FA2153D" w14:textId="77777777" w:rsidR="00236FA5" w:rsidRDefault="00000000">
      <w:pPr>
        <w:ind w:left="0" w:hanging="2"/>
      </w:pPr>
      <w:r>
        <w:t xml:space="preserve">Prati, S. (2007). “Acerca de ʻsaber una lenguaʼ”, en </w:t>
      </w:r>
      <w:r>
        <w:rPr>
          <w:i/>
        </w:rPr>
        <w:t>La evaluación en Español Lengua extranjera</w:t>
      </w:r>
      <w:r>
        <w:t>, Buenos Aires, De la Araucaria.</w:t>
      </w:r>
    </w:p>
    <w:p w14:paraId="58158453" w14:textId="77777777" w:rsidR="00236FA5" w:rsidRDefault="00236FA5">
      <w:pPr>
        <w:ind w:left="0" w:hanging="2"/>
      </w:pPr>
    </w:p>
    <w:p w14:paraId="4C8242B6" w14:textId="77777777" w:rsidR="00236FA5" w:rsidRDefault="00236FA5">
      <w:pPr>
        <w:ind w:left="0" w:hanging="2"/>
      </w:pPr>
    </w:p>
    <w:p w14:paraId="3C4622CC" w14:textId="77777777" w:rsidR="00236FA5" w:rsidRDefault="00000000">
      <w:pPr>
        <w:keepNext/>
        <w:numPr>
          <w:ilvl w:val="2"/>
          <w:numId w:val="1"/>
        </w:numPr>
        <w:pBdr>
          <w:top w:val="nil"/>
          <w:left w:val="nil"/>
          <w:bottom w:val="nil"/>
          <w:right w:val="nil"/>
          <w:between w:val="nil"/>
        </w:pBdr>
        <w:spacing w:before="240" w:after="60" w:line="240" w:lineRule="auto"/>
        <w:ind w:left="1" w:hanging="3"/>
        <w:rPr>
          <w:rFonts w:ascii="Cambria" w:eastAsia="Cambria" w:hAnsi="Cambria" w:cs="Cambria"/>
          <w:b/>
          <w:color w:val="000000"/>
          <w:sz w:val="26"/>
          <w:szCs w:val="26"/>
          <w:u w:val="single"/>
        </w:rPr>
      </w:pPr>
      <w:r>
        <w:rPr>
          <w:rFonts w:ascii="Cambria" w:eastAsia="Cambria" w:hAnsi="Cambria" w:cs="Cambria"/>
          <w:b/>
          <w:color w:val="000000"/>
          <w:sz w:val="26"/>
          <w:szCs w:val="26"/>
          <w:u w:val="single"/>
        </w:rPr>
        <w:t>Unidad 2: La elaboración del examen.</w:t>
      </w:r>
    </w:p>
    <w:p w14:paraId="69B1CE6A" w14:textId="77777777" w:rsidR="00236FA5" w:rsidRDefault="00000000">
      <w:pPr>
        <w:keepNext/>
        <w:numPr>
          <w:ilvl w:val="3"/>
          <w:numId w:val="1"/>
        </w:numPr>
        <w:pBdr>
          <w:top w:val="nil"/>
          <w:left w:val="nil"/>
          <w:bottom w:val="nil"/>
          <w:right w:val="nil"/>
          <w:between w:val="nil"/>
        </w:pBdr>
        <w:spacing w:before="240" w:after="60" w:line="240" w:lineRule="auto"/>
        <w:ind w:left="1" w:hanging="3"/>
        <w:rPr>
          <w:b/>
          <w:color w:val="000000"/>
          <w:sz w:val="28"/>
          <w:szCs w:val="28"/>
        </w:rPr>
      </w:pPr>
      <w:r>
        <w:rPr>
          <w:b/>
          <w:color w:val="000000"/>
          <w:sz w:val="28"/>
          <w:szCs w:val="28"/>
        </w:rPr>
        <w:t>Contenidos:</w:t>
      </w:r>
    </w:p>
    <w:p w14:paraId="65489E55" w14:textId="77777777" w:rsidR="00236FA5" w:rsidRDefault="00236FA5">
      <w:pPr>
        <w:ind w:left="0" w:hanging="2"/>
      </w:pPr>
    </w:p>
    <w:p w14:paraId="2DEF1D50" w14:textId="77777777" w:rsidR="00236FA5" w:rsidRDefault="00000000">
      <w:pPr>
        <w:ind w:left="0" w:hanging="2"/>
      </w:pPr>
      <w:r>
        <w:t xml:space="preserve">Tipos de exámenes: de ubicación, de diagnóstico, de logro, de dominio. La evaluación formativa, continua y de progreso. La elaboración del examen. Propósito y noción de constructo. Evaluación de conocimiento y desempeño; exámenes de norma o criterio. Tipos de ítems. </w:t>
      </w:r>
    </w:p>
    <w:p w14:paraId="49445842" w14:textId="77777777" w:rsidR="00236FA5" w:rsidRDefault="00000000">
      <w:pPr>
        <w:keepNext/>
        <w:numPr>
          <w:ilvl w:val="3"/>
          <w:numId w:val="1"/>
        </w:numPr>
        <w:pBdr>
          <w:top w:val="nil"/>
          <w:left w:val="nil"/>
          <w:bottom w:val="nil"/>
          <w:right w:val="nil"/>
          <w:between w:val="nil"/>
        </w:pBdr>
        <w:spacing w:before="240" w:after="60" w:line="240" w:lineRule="auto"/>
        <w:ind w:left="1" w:hanging="3"/>
        <w:rPr>
          <w:color w:val="000000"/>
        </w:rPr>
      </w:pPr>
      <w:r>
        <w:rPr>
          <w:b/>
          <w:color w:val="000000"/>
          <w:sz w:val="28"/>
          <w:szCs w:val="28"/>
        </w:rPr>
        <w:lastRenderedPageBreak/>
        <w:t>Bibliografía obligatoria:</w:t>
      </w:r>
    </w:p>
    <w:p w14:paraId="5DFABFC8" w14:textId="77777777" w:rsidR="00236FA5" w:rsidRDefault="00000000">
      <w:pPr>
        <w:pBdr>
          <w:top w:val="nil"/>
          <w:left w:val="nil"/>
          <w:bottom w:val="nil"/>
          <w:right w:val="nil"/>
          <w:between w:val="nil"/>
        </w:pBdr>
        <w:spacing w:line="240" w:lineRule="auto"/>
        <w:ind w:left="0" w:hanging="2"/>
        <w:rPr>
          <w:color w:val="000000"/>
        </w:rPr>
      </w:pPr>
      <w:r>
        <w:rPr>
          <w:color w:val="000000"/>
        </w:rPr>
        <w:t xml:space="preserve">Alderson, C. et al (1998), </w:t>
      </w:r>
      <w:r>
        <w:rPr>
          <w:i/>
          <w:color w:val="000000"/>
        </w:rPr>
        <w:t xml:space="preserve">Exámenes de idiomas, elaboración y construcción. </w:t>
      </w:r>
      <w:r>
        <w:rPr>
          <w:color w:val="000000"/>
        </w:rPr>
        <w:t>Madrid, Cambridge University Press. [selección]</w:t>
      </w:r>
    </w:p>
    <w:p w14:paraId="779C3365" w14:textId="77777777" w:rsidR="00236FA5" w:rsidRDefault="00236FA5">
      <w:pPr>
        <w:pBdr>
          <w:top w:val="nil"/>
          <w:left w:val="nil"/>
          <w:bottom w:val="nil"/>
          <w:right w:val="nil"/>
          <w:between w:val="nil"/>
        </w:pBdr>
        <w:spacing w:line="240" w:lineRule="auto"/>
        <w:ind w:left="0" w:hanging="2"/>
        <w:rPr>
          <w:color w:val="000000"/>
        </w:rPr>
      </w:pPr>
    </w:p>
    <w:p w14:paraId="3E6C9E6E" w14:textId="77777777" w:rsidR="00236FA5" w:rsidRDefault="00000000">
      <w:pPr>
        <w:pBdr>
          <w:top w:val="nil"/>
          <w:left w:val="nil"/>
          <w:bottom w:val="nil"/>
          <w:right w:val="nil"/>
          <w:between w:val="nil"/>
        </w:pBdr>
        <w:spacing w:line="288" w:lineRule="auto"/>
        <w:ind w:left="0" w:hanging="2"/>
        <w:rPr>
          <w:color w:val="000000"/>
        </w:rPr>
      </w:pPr>
      <w:r>
        <w:rPr>
          <w:color w:val="000000"/>
        </w:rPr>
        <w:t xml:space="preserve">Antón, M. (2013), “Evaluación tradicional en el aula” y “Evaluación alternativa”, en </w:t>
      </w:r>
      <w:r>
        <w:rPr>
          <w:i/>
          <w:color w:val="000000"/>
        </w:rPr>
        <w:t>Métodos de evaluación de ELE</w:t>
      </w:r>
      <w:r>
        <w:rPr>
          <w:color w:val="000000"/>
        </w:rPr>
        <w:t>. Madrid, Arco Libros.</w:t>
      </w:r>
    </w:p>
    <w:p w14:paraId="6806BBCC" w14:textId="77777777" w:rsidR="00236FA5" w:rsidRDefault="00236FA5">
      <w:pPr>
        <w:pBdr>
          <w:top w:val="nil"/>
          <w:left w:val="nil"/>
          <w:bottom w:val="nil"/>
          <w:right w:val="nil"/>
          <w:between w:val="nil"/>
        </w:pBdr>
        <w:spacing w:line="288" w:lineRule="auto"/>
        <w:ind w:left="0" w:hanging="2"/>
        <w:rPr>
          <w:color w:val="000000"/>
        </w:rPr>
      </w:pPr>
    </w:p>
    <w:p w14:paraId="655F7924" w14:textId="77777777" w:rsidR="00236FA5" w:rsidRDefault="00000000">
      <w:pPr>
        <w:pBdr>
          <w:top w:val="nil"/>
          <w:left w:val="nil"/>
          <w:bottom w:val="nil"/>
          <w:right w:val="nil"/>
          <w:between w:val="nil"/>
        </w:pBdr>
        <w:spacing w:line="288" w:lineRule="auto"/>
        <w:ind w:left="0" w:hanging="2"/>
        <w:rPr>
          <w:color w:val="000000"/>
        </w:rPr>
      </w:pPr>
      <w:r>
        <w:rPr>
          <w:color w:val="000000"/>
        </w:rPr>
        <w:t xml:space="preserve">Eres F. G. y Tiba R., L. M. (2010). </w:t>
      </w:r>
      <w:r>
        <w:rPr>
          <w:i/>
          <w:color w:val="000000"/>
        </w:rPr>
        <w:t>La enseñanza de lenguas extranjeras y la evaluación</w:t>
      </w:r>
      <w:r>
        <w:rPr>
          <w:color w:val="000000"/>
        </w:rPr>
        <w:t>. Madrid, Arco Libros.</w:t>
      </w:r>
    </w:p>
    <w:p w14:paraId="1AB759D5" w14:textId="77777777" w:rsidR="00236FA5" w:rsidRDefault="00236FA5">
      <w:pPr>
        <w:pBdr>
          <w:top w:val="nil"/>
          <w:left w:val="nil"/>
          <w:bottom w:val="nil"/>
          <w:right w:val="nil"/>
          <w:between w:val="nil"/>
        </w:pBdr>
        <w:spacing w:line="288" w:lineRule="auto"/>
        <w:ind w:left="0" w:hanging="2"/>
        <w:rPr>
          <w:color w:val="000000"/>
        </w:rPr>
      </w:pPr>
    </w:p>
    <w:p w14:paraId="06FE0E9C" w14:textId="77777777" w:rsidR="00236FA5" w:rsidRDefault="00000000">
      <w:pPr>
        <w:pBdr>
          <w:top w:val="nil"/>
          <w:left w:val="nil"/>
          <w:bottom w:val="nil"/>
          <w:right w:val="nil"/>
          <w:between w:val="nil"/>
        </w:pBdr>
        <w:spacing w:line="288" w:lineRule="auto"/>
        <w:ind w:left="0" w:hanging="2"/>
        <w:rPr>
          <w:color w:val="000000"/>
        </w:rPr>
      </w:pPr>
      <w:r>
        <w:rPr>
          <w:color w:val="000000"/>
        </w:rPr>
        <w:t xml:space="preserve">Prati, S. (2007). “Elaboración de un examen” y “Búsqueda de textos”, en </w:t>
      </w:r>
      <w:r>
        <w:rPr>
          <w:i/>
          <w:color w:val="000000"/>
        </w:rPr>
        <w:t>La evaluación en Español Lengua extranjera</w:t>
      </w:r>
      <w:r>
        <w:rPr>
          <w:color w:val="000000"/>
        </w:rPr>
        <w:t>. Buenos Aires, De la Araucaria.</w:t>
      </w:r>
    </w:p>
    <w:p w14:paraId="5B831C0F" w14:textId="77777777" w:rsidR="00236FA5" w:rsidRDefault="00000000">
      <w:pPr>
        <w:keepNext/>
        <w:numPr>
          <w:ilvl w:val="3"/>
          <w:numId w:val="1"/>
        </w:numPr>
        <w:spacing w:before="240" w:after="60"/>
        <w:ind w:left="1" w:hanging="3"/>
      </w:pPr>
      <w:r>
        <w:rPr>
          <w:b/>
          <w:sz w:val="28"/>
          <w:szCs w:val="28"/>
        </w:rPr>
        <w:t>Bibliografía complementaria:</w:t>
      </w:r>
    </w:p>
    <w:p w14:paraId="4FD85DCA" w14:textId="77777777" w:rsidR="00236FA5" w:rsidRDefault="00000000">
      <w:pPr>
        <w:numPr>
          <w:ilvl w:val="3"/>
          <w:numId w:val="1"/>
        </w:numPr>
        <w:spacing w:line="288" w:lineRule="auto"/>
        <w:ind w:hanging="2"/>
        <w:rPr>
          <w:b/>
          <w:sz w:val="28"/>
          <w:szCs w:val="28"/>
        </w:rPr>
      </w:pPr>
      <w:r>
        <w:t xml:space="preserve">Bordón M., T. (2006). </w:t>
      </w:r>
      <w:r>
        <w:rPr>
          <w:i/>
        </w:rPr>
        <w:t>La evaluación de la lengua en el marco de E/EL: Bases y procedimientos</w:t>
      </w:r>
      <w:r>
        <w:t>. Madrid, Arco Libros.</w:t>
      </w:r>
    </w:p>
    <w:p w14:paraId="3A92EF44" w14:textId="77777777" w:rsidR="00236FA5" w:rsidRDefault="00236FA5">
      <w:pPr>
        <w:numPr>
          <w:ilvl w:val="3"/>
          <w:numId w:val="1"/>
        </w:numPr>
        <w:spacing w:line="288" w:lineRule="auto"/>
        <w:ind w:hanging="2"/>
      </w:pPr>
    </w:p>
    <w:p w14:paraId="31F1D839" w14:textId="77777777" w:rsidR="00236FA5" w:rsidRDefault="00000000">
      <w:pPr>
        <w:numPr>
          <w:ilvl w:val="3"/>
          <w:numId w:val="1"/>
        </w:numPr>
        <w:spacing w:line="288" w:lineRule="auto"/>
        <w:ind w:hanging="2"/>
        <w:rPr>
          <w:b/>
          <w:sz w:val="28"/>
          <w:szCs w:val="28"/>
        </w:rPr>
      </w:pPr>
      <w:r>
        <w:t xml:space="preserve">Consejo de Europa (2001). “Capítulo 9: La evaluación”. En </w:t>
      </w:r>
      <w:r>
        <w:rPr>
          <w:i/>
        </w:rPr>
        <w:t xml:space="preserve">Marco común europeo de referencia para las lenguas: aprendizaje, enseñanza, evaluación. </w:t>
      </w:r>
      <w:r>
        <w:t xml:space="preserve">Disponible en </w:t>
      </w:r>
      <w:hyperlink r:id="rId7">
        <w:r>
          <w:rPr>
            <w:u w:val="single"/>
          </w:rPr>
          <w:t>http://cvc.cervantes.es/obref/marco/</w:t>
        </w:r>
      </w:hyperlink>
    </w:p>
    <w:p w14:paraId="2600D85A" w14:textId="77777777" w:rsidR="00236FA5" w:rsidRDefault="00236FA5">
      <w:pPr>
        <w:keepNext/>
        <w:numPr>
          <w:ilvl w:val="3"/>
          <w:numId w:val="1"/>
        </w:numPr>
        <w:pBdr>
          <w:top w:val="nil"/>
          <w:left w:val="nil"/>
          <w:bottom w:val="nil"/>
          <w:right w:val="nil"/>
          <w:between w:val="nil"/>
        </w:pBdr>
        <w:spacing w:before="240" w:after="60" w:line="240" w:lineRule="auto"/>
        <w:ind w:left="1" w:hanging="3"/>
        <w:rPr>
          <w:b/>
          <w:sz w:val="28"/>
          <w:szCs w:val="28"/>
        </w:rPr>
      </w:pPr>
    </w:p>
    <w:p w14:paraId="0978BFC7" w14:textId="77777777" w:rsidR="00236FA5" w:rsidRDefault="00000000">
      <w:pPr>
        <w:keepNext/>
        <w:numPr>
          <w:ilvl w:val="2"/>
          <w:numId w:val="1"/>
        </w:numPr>
        <w:pBdr>
          <w:top w:val="nil"/>
          <w:left w:val="nil"/>
          <w:bottom w:val="nil"/>
          <w:right w:val="nil"/>
          <w:between w:val="nil"/>
        </w:pBdr>
        <w:spacing w:before="240" w:after="60" w:line="240" w:lineRule="auto"/>
        <w:ind w:left="1" w:hanging="3"/>
        <w:rPr>
          <w:rFonts w:ascii="Cambria" w:eastAsia="Cambria" w:hAnsi="Cambria" w:cs="Cambria"/>
          <w:b/>
          <w:color w:val="000000"/>
          <w:sz w:val="26"/>
          <w:szCs w:val="26"/>
          <w:u w:val="single"/>
        </w:rPr>
      </w:pPr>
      <w:r>
        <w:rPr>
          <w:rFonts w:ascii="Cambria" w:eastAsia="Cambria" w:hAnsi="Cambria" w:cs="Cambria"/>
          <w:b/>
          <w:color w:val="000000"/>
          <w:sz w:val="26"/>
          <w:szCs w:val="26"/>
          <w:u w:val="single"/>
        </w:rPr>
        <w:t>Unidad 3: Administración y evaluación.</w:t>
      </w:r>
    </w:p>
    <w:p w14:paraId="7861E8EA" w14:textId="77777777" w:rsidR="00236FA5" w:rsidRDefault="00000000">
      <w:pPr>
        <w:keepNext/>
        <w:numPr>
          <w:ilvl w:val="3"/>
          <w:numId w:val="1"/>
        </w:numPr>
        <w:pBdr>
          <w:top w:val="nil"/>
          <w:left w:val="nil"/>
          <w:bottom w:val="nil"/>
          <w:right w:val="nil"/>
          <w:between w:val="nil"/>
        </w:pBdr>
        <w:spacing w:before="240" w:after="60" w:line="240" w:lineRule="auto"/>
        <w:ind w:left="1" w:hanging="3"/>
        <w:rPr>
          <w:b/>
          <w:color w:val="000000"/>
          <w:sz w:val="28"/>
          <w:szCs w:val="28"/>
        </w:rPr>
      </w:pPr>
      <w:r>
        <w:rPr>
          <w:b/>
          <w:color w:val="000000"/>
          <w:sz w:val="28"/>
          <w:szCs w:val="28"/>
        </w:rPr>
        <w:t>Contenidos:</w:t>
      </w:r>
    </w:p>
    <w:p w14:paraId="5F315EFA" w14:textId="77777777" w:rsidR="00236FA5" w:rsidRDefault="00000000">
      <w:pPr>
        <w:ind w:left="0" w:hanging="2"/>
      </w:pPr>
      <w:r>
        <w:t>Características del examen: confiabilidad, validez, autenticidad, impacto y viabilidad. Administración y evaluación de exámenes orales y escritos. Evaluación analítica y holística. Puntuación y balance de puntaje. Claves, grillas y bandas. El examen digital: aspectos técnicos y académicos.</w:t>
      </w:r>
    </w:p>
    <w:p w14:paraId="04159456" w14:textId="77777777" w:rsidR="00236FA5" w:rsidRDefault="00000000">
      <w:pPr>
        <w:keepNext/>
        <w:numPr>
          <w:ilvl w:val="3"/>
          <w:numId w:val="1"/>
        </w:numPr>
        <w:pBdr>
          <w:top w:val="nil"/>
          <w:left w:val="nil"/>
          <w:bottom w:val="nil"/>
          <w:right w:val="nil"/>
          <w:between w:val="nil"/>
        </w:pBdr>
        <w:spacing w:before="240" w:after="60" w:line="240" w:lineRule="auto"/>
        <w:ind w:left="1" w:hanging="3"/>
        <w:rPr>
          <w:b/>
          <w:color w:val="000000"/>
          <w:sz w:val="28"/>
          <w:szCs w:val="28"/>
        </w:rPr>
      </w:pPr>
      <w:r>
        <w:rPr>
          <w:b/>
          <w:color w:val="000000"/>
          <w:sz w:val="28"/>
          <w:szCs w:val="28"/>
        </w:rPr>
        <w:t>Bibliografía obligatoria:</w:t>
      </w:r>
    </w:p>
    <w:p w14:paraId="4AE84FDA" w14:textId="77777777" w:rsidR="00236FA5" w:rsidRDefault="00000000">
      <w:pPr>
        <w:ind w:left="0" w:hanging="2"/>
      </w:pPr>
      <w:r>
        <w:t xml:space="preserve">Bachman, L. y Palmer, A. S.  </w:t>
      </w:r>
      <w:r w:rsidRPr="009E16BB">
        <w:rPr>
          <w:lang w:val="en-US"/>
        </w:rPr>
        <w:t xml:space="preserve">(1996). “Test Usefulness; Qualities of Language Tests”, en  </w:t>
      </w:r>
      <w:r w:rsidRPr="009E16BB">
        <w:rPr>
          <w:i/>
          <w:lang w:val="en-US"/>
        </w:rPr>
        <w:t>Language Testing in Practice</w:t>
      </w:r>
      <w:r w:rsidRPr="009E16BB">
        <w:rPr>
          <w:lang w:val="en-US"/>
        </w:rPr>
        <w:t xml:space="preserve">.  </w:t>
      </w:r>
      <w:r>
        <w:t xml:space="preserve">Oxford, Oxford University Press. </w:t>
      </w:r>
      <w:r>
        <w:tab/>
      </w:r>
    </w:p>
    <w:p w14:paraId="4D4C4944" w14:textId="77777777" w:rsidR="00236FA5" w:rsidRDefault="00236FA5">
      <w:pPr>
        <w:ind w:left="0" w:hanging="2"/>
      </w:pPr>
    </w:p>
    <w:p w14:paraId="02A3A533" w14:textId="77777777" w:rsidR="00236FA5" w:rsidRDefault="00000000">
      <w:pPr>
        <w:ind w:left="0" w:hanging="2"/>
      </w:pPr>
      <w:r>
        <w:t xml:space="preserve">Figueras, N. (2004). “Estándares y calidad en la elaboración y administración de pruebas y  exámenes. Criterios mínimos para el reconocimiento y la comparabilidad”. En: </w:t>
      </w:r>
      <w:r>
        <w:rPr>
          <w:i/>
        </w:rPr>
        <w:t>III Congreso Internacional de la Lengua Española</w:t>
      </w:r>
      <w:r>
        <w:t xml:space="preserve">. Disponible en: </w:t>
      </w:r>
    </w:p>
    <w:p w14:paraId="5B0553CB" w14:textId="77777777" w:rsidR="00236FA5" w:rsidRDefault="00000000">
      <w:pPr>
        <w:ind w:left="0" w:hanging="2"/>
      </w:pPr>
      <w:r>
        <w:t>https://cvc.cervantes.es/obref/congresos/rosario/ponencias/internacional/figueras_n.htm</w:t>
      </w:r>
    </w:p>
    <w:p w14:paraId="766C6A69" w14:textId="77777777" w:rsidR="00236FA5" w:rsidRDefault="00236FA5">
      <w:pPr>
        <w:ind w:left="0" w:hanging="2"/>
      </w:pPr>
    </w:p>
    <w:p w14:paraId="383B42EB" w14:textId="77777777" w:rsidR="00236FA5" w:rsidRDefault="00000000">
      <w:pPr>
        <w:ind w:left="0" w:hanging="2"/>
      </w:pPr>
      <w:r w:rsidRPr="009E16BB">
        <w:rPr>
          <w:lang w:val="en-US"/>
        </w:rPr>
        <w:t>McNamara, T.  (2000).</w:t>
      </w:r>
      <w:r w:rsidRPr="009E16BB">
        <w:rPr>
          <w:i/>
          <w:lang w:val="en-US"/>
        </w:rPr>
        <w:t xml:space="preserve"> Language Testing</w:t>
      </w:r>
      <w:r w:rsidRPr="009E16BB">
        <w:rPr>
          <w:lang w:val="en-US"/>
        </w:rPr>
        <w:t xml:space="preserve">.  Oxford, Oxford University Press. </w:t>
      </w:r>
      <w:r>
        <w:t>[selección]</w:t>
      </w:r>
    </w:p>
    <w:p w14:paraId="5483061D" w14:textId="77777777" w:rsidR="00236FA5" w:rsidRDefault="00236FA5">
      <w:pPr>
        <w:ind w:left="0" w:hanging="2"/>
      </w:pPr>
    </w:p>
    <w:p w14:paraId="418E7115" w14:textId="77777777" w:rsidR="00236FA5" w:rsidRDefault="00000000">
      <w:pPr>
        <w:ind w:left="0" w:hanging="2"/>
      </w:pPr>
      <w:r>
        <w:t xml:space="preserve">Prati, S. (2007). “Acerca de la evaluación”, en </w:t>
      </w:r>
      <w:r>
        <w:rPr>
          <w:i/>
        </w:rPr>
        <w:t>La evaluación en Español Lengua extranjera</w:t>
      </w:r>
      <w:r>
        <w:t>, Buenos Aires, De la Araucaria.</w:t>
      </w:r>
    </w:p>
    <w:p w14:paraId="109517B6" w14:textId="77777777" w:rsidR="00236FA5" w:rsidRDefault="00236FA5">
      <w:pPr>
        <w:ind w:left="0" w:hanging="2"/>
      </w:pPr>
    </w:p>
    <w:p w14:paraId="42BB55DE" w14:textId="77777777" w:rsidR="00236FA5" w:rsidRDefault="00000000">
      <w:pPr>
        <w:ind w:left="0" w:hanging="2"/>
      </w:pPr>
      <w:r w:rsidRPr="009E16BB">
        <w:rPr>
          <w:lang w:val="en-US"/>
        </w:rPr>
        <w:t xml:space="preserve">Schlatter, M., Almeida, A. D. N., Fortes, M. S., y Schoffen, J. R. (2005). </w:t>
      </w:r>
      <w:r>
        <w:t xml:space="preserve">“Avaliação de desempenho e os conceitos de validade, confiabilidade e efeito retroativo”. </w:t>
      </w:r>
      <w:r>
        <w:rPr>
          <w:i/>
        </w:rPr>
        <w:t>A redação no contexto do vestibular</w:t>
      </w:r>
      <w:r>
        <w:t>, pp. 11-35.</w:t>
      </w:r>
    </w:p>
    <w:p w14:paraId="27D9FAB2" w14:textId="77777777" w:rsidR="00236FA5" w:rsidRDefault="00236FA5">
      <w:pPr>
        <w:ind w:left="0" w:hanging="2"/>
      </w:pPr>
    </w:p>
    <w:p w14:paraId="7073385B" w14:textId="77777777" w:rsidR="00236FA5" w:rsidRDefault="00000000">
      <w:pPr>
        <w:keepNext/>
        <w:numPr>
          <w:ilvl w:val="0"/>
          <w:numId w:val="1"/>
        </w:numPr>
        <w:spacing w:before="240" w:after="60"/>
        <w:ind w:left="1" w:hanging="3"/>
      </w:pPr>
      <w:r>
        <w:rPr>
          <w:b/>
          <w:sz w:val="28"/>
          <w:szCs w:val="28"/>
        </w:rPr>
        <w:t>Bibliografía complementaria:</w:t>
      </w:r>
    </w:p>
    <w:p w14:paraId="0F45F605" w14:textId="77777777" w:rsidR="00236FA5" w:rsidRDefault="00000000">
      <w:pPr>
        <w:numPr>
          <w:ilvl w:val="0"/>
          <w:numId w:val="1"/>
        </w:numPr>
        <w:spacing w:line="288" w:lineRule="auto"/>
        <w:ind w:hanging="2"/>
        <w:rPr>
          <w:b/>
          <w:sz w:val="28"/>
          <w:szCs w:val="28"/>
        </w:rPr>
      </w:pPr>
      <w:r>
        <w:t xml:space="preserve">Bordón M., T. (2006). </w:t>
      </w:r>
      <w:r>
        <w:rPr>
          <w:i/>
        </w:rPr>
        <w:t>La evaluación de la lengua en el marco de E/EL: Bases y procedimientos</w:t>
      </w:r>
      <w:r>
        <w:t>. Madrid, Arco Libros.</w:t>
      </w:r>
    </w:p>
    <w:p w14:paraId="09FBD425" w14:textId="77777777" w:rsidR="00236FA5" w:rsidRDefault="00236FA5">
      <w:pPr>
        <w:ind w:left="0" w:hanging="2"/>
      </w:pPr>
    </w:p>
    <w:p w14:paraId="1D063702" w14:textId="77777777" w:rsidR="00236FA5" w:rsidRDefault="00236FA5">
      <w:pPr>
        <w:ind w:left="0" w:hanging="2"/>
      </w:pPr>
    </w:p>
    <w:p w14:paraId="1278F79C" w14:textId="77777777" w:rsidR="00236FA5" w:rsidRDefault="00000000">
      <w:pPr>
        <w:keepNext/>
        <w:numPr>
          <w:ilvl w:val="3"/>
          <w:numId w:val="1"/>
        </w:numPr>
        <w:pBdr>
          <w:top w:val="nil"/>
          <w:left w:val="nil"/>
          <w:bottom w:val="nil"/>
          <w:right w:val="nil"/>
          <w:between w:val="nil"/>
        </w:pBdr>
        <w:spacing w:before="240" w:after="60" w:line="240" w:lineRule="auto"/>
        <w:ind w:left="1" w:hanging="3"/>
        <w:rPr>
          <w:b/>
          <w:color w:val="000000"/>
          <w:sz w:val="28"/>
          <w:szCs w:val="28"/>
        </w:rPr>
      </w:pPr>
      <w:r>
        <w:rPr>
          <w:rFonts w:ascii="Cambria" w:eastAsia="Cambria" w:hAnsi="Cambria" w:cs="Cambria"/>
          <w:b/>
          <w:color w:val="000000"/>
          <w:sz w:val="26"/>
          <w:szCs w:val="26"/>
          <w:u w:val="single"/>
        </w:rPr>
        <w:t>Unidad 4: Relevancia social de la evaluación</w:t>
      </w:r>
      <w:r>
        <w:rPr>
          <w:rFonts w:ascii="Cambria" w:eastAsia="Cambria" w:hAnsi="Cambria" w:cs="Cambria"/>
          <w:b/>
          <w:color w:val="000000"/>
          <w:sz w:val="26"/>
          <w:szCs w:val="26"/>
        </w:rPr>
        <w:t>.</w:t>
      </w:r>
    </w:p>
    <w:p w14:paraId="45BFD1C5" w14:textId="77777777" w:rsidR="00236FA5" w:rsidRDefault="00236FA5">
      <w:pPr>
        <w:ind w:left="0" w:hanging="2"/>
      </w:pPr>
    </w:p>
    <w:p w14:paraId="6ADF51F3" w14:textId="77777777" w:rsidR="00236FA5" w:rsidRDefault="00000000">
      <w:pPr>
        <w:keepNext/>
        <w:numPr>
          <w:ilvl w:val="3"/>
          <w:numId w:val="1"/>
        </w:numPr>
        <w:pBdr>
          <w:top w:val="nil"/>
          <w:left w:val="nil"/>
          <w:bottom w:val="nil"/>
          <w:right w:val="nil"/>
          <w:between w:val="nil"/>
        </w:pBdr>
        <w:spacing w:before="240" w:after="60" w:line="240" w:lineRule="auto"/>
        <w:ind w:left="1" w:hanging="3"/>
        <w:rPr>
          <w:b/>
          <w:color w:val="000000"/>
          <w:sz w:val="28"/>
          <w:szCs w:val="28"/>
        </w:rPr>
      </w:pPr>
      <w:r>
        <w:rPr>
          <w:b/>
          <w:color w:val="000000"/>
          <w:sz w:val="28"/>
          <w:szCs w:val="28"/>
        </w:rPr>
        <w:t>Contenidos:</w:t>
      </w:r>
    </w:p>
    <w:p w14:paraId="1457B9E3" w14:textId="77777777" w:rsidR="00236FA5" w:rsidRDefault="00000000">
      <w:pPr>
        <w:ind w:left="0" w:hanging="2"/>
      </w:pPr>
      <w:r>
        <w:t>La programación, evaluación y certificación a partir de la descripción de niveles. Análisis y reconocimiento de niveles en programas, cursos y exámenes. Marcos e Instituciones certificadoras. Importancia social de la evaluación. Un examen de certificación de desempeño: CELU. Su carácter formativo, impacto en la enseñanza y en la comunidad de habla. Examen CELU y examen DELE: dos miradas sobre la evaluación.</w:t>
      </w:r>
    </w:p>
    <w:p w14:paraId="0482EE71" w14:textId="77777777" w:rsidR="00236FA5" w:rsidRDefault="00000000">
      <w:pPr>
        <w:keepNext/>
        <w:numPr>
          <w:ilvl w:val="3"/>
          <w:numId w:val="1"/>
        </w:numPr>
        <w:pBdr>
          <w:top w:val="nil"/>
          <w:left w:val="nil"/>
          <w:bottom w:val="nil"/>
          <w:right w:val="nil"/>
          <w:between w:val="nil"/>
        </w:pBdr>
        <w:spacing w:before="240" w:after="60" w:line="240" w:lineRule="auto"/>
        <w:ind w:left="1" w:hanging="3"/>
        <w:rPr>
          <w:b/>
          <w:color w:val="000000"/>
          <w:sz w:val="28"/>
          <w:szCs w:val="28"/>
        </w:rPr>
      </w:pPr>
      <w:r>
        <w:rPr>
          <w:b/>
          <w:color w:val="000000"/>
          <w:sz w:val="28"/>
          <w:szCs w:val="28"/>
        </w:rPr>
        <w:t>Bibliografía obligatoria:</w:t>
      </w:r>
    </w:p>
    <w:p w14:paraId="2E0228A3" w14:textId="77777777" w:rsidR="00236FA5" w:rsidRDefault="00000000">
      <w:pPr>
        <w:ind w:left="0" w:hanging="2"/>
      </w:pPr>
      <w:r>
        <w:t xml:space="preserve">Antón, M. (2013), “Evaluación en la era de estándares y planes curriculares y supranacionales”,  en </w:t>
      </w:r>
      <w:r>
        <w:rPr>
          <w:i/>
        </w:rPr>
        <w:t>Métodos de evaluación de ELE</w:t>
      </w:r>
      <w:r>
        <w:t>. Madrid, Arco Libros.</w:t>
      </w:r>
    </w:p>
    <w:p w14:paraId="23DDC8E9" w14:textId="77777777" w:rsidR="00236FA5" w:rsidRDefault="00236FA5">
      <w:pPr>
        <w:ind w:left="0" w:hanging="2"/>
      </w:pPr>
    </w:p>
    <w:p w14:paraId="0E71685E" w14:textId="77777777" w:rsidR="00236FA5" w:rsidRDefault="00000000">
      <w:pPr>
        <w:ind w:left="0" w:hanging="2"/>
      </w:pPr>
      <w:r>
        <w:t>CELU:</w:t>
      </w:r>
    </w:p>
    <w:p w14:paraId="2FBD89D5" w14:textId="77777777" w:rsidR="00236FA5" w:rsidRDefault="00000000">
      <w:pPr>
        <w:ind w:left="0" w:hanging="2"/>
      </w:pPr>
      <w:r>
        <w:t>http://www.celu.edu.ar</w:t>
      </w:r>
    </w:p>
    <w:p w14:paraId="155D8640" w14:textId="77777777" w:rsidR="00236FA5" w:rsidRDefault="00236FA5">
      <w:pPr>
        <w:ind w:left="0" w:hanging="2"/>
      </w:pPr>
    </w:p>
    <w:p w14:paraId="3FF3FEDF" w14:textId="77777777" w:rsidR="00236FA5" w:rsidRDefault="00000000">
      <w:pPr>
        <w:ind w:left="0" w:hanging="2"/>
      </w:pPr>
      <w:r>
        <w:t>DELE:</w:t>
      </w:r>
    </w:p>
    <w:p w14:paraId="0E857EA4" w14:textId="77777777" w:rsidR="00236FA5" w:rsidRDefault="00000000">
      <w:pPr>
        <w:ind w:left="0" w:hanging="2"/>
      </w:pPr>
      <w:r>
        <w:t>http://www.dele.org/espanol/</w:t>
      </w:r>
    </w:p>
    <w:p w14:paraId="325813F3" w14:textId="77777777" w:rsidR="00236FA5" w:rsidRDefault="00236FA5">
      <w:pPr>
        <w:ind w:left="0" w:hanging="2"/>
      </w:pPr>
    </w:p>
    <w:p w14:paraId="780217DB" w14:textId="77777777" w:rsidR="00236FA5" w:rsidRDefault="00000000">
      <w:pPr>
        <w:ind w:left="0" w:hanging="2"/>
      </w:pPr>
      <w:r>
        <w:t>McNamara, T. (2007).  “La evaluación de la lengua como práctica social”. Conferencia. Traducción al español disponible en:</w:t>
      </w:r>
    </w:p>
    <w:p w14:paraId="035A30D0" w14:textId="77777777" w:rsidR="00236FA5" w:rsidRDefault="00000000">
      <w:pPr>
        <w:ind w:left="0" w:hanging="2"/>
      </w:pPr>
      <w:r>
        <w:t>http://www.celu.edu.ar/sites/www.celu.edu.ar/files/images/stories/pdf/McNamara_conferencia_.pdf</w:t>
      </w:r>
    </w:p>
    <w:p w14:paraId="360F3F9B" w14:textId="77777777" w:rsidR="00236FA5" w:rsidRDefault="00236FA5">
      <w:pPr>
        <w:ind w:left="0" w:hanging="2"/>
      </w:pPr>
    </w:p>
    <w:p w14:paraId="0207DEF3" w14:textId="77777777" w:rsidR="00236FA5" w:rsidRDefault="00000000">
      <w:pPr>
        <w:ind w:left="0" w:hanging="2"/>
      </w:pPr>
      <w:r>
        <w:t xml:space="preserve">Scaramucci, M. (2009). “Avaliação de proficiência: valores culturais e consequências sociais”. Conferencia. </w:t>
      </w:r>
      <w:r>
        <w:rPr>
          <w:i/>
        </w:rPr>
        <w:t>V Coloquio CELU</w:t>
      </w:r>
      <w:r>
        <w:t>, Córdoba, Argentina.</w:t>
      </w:r>
    </w:p>
    <w:p w14:paraId="0300C841" w14:textId="77777777" w:rsidR="00236FA5" w:rsidRDefault="00236FA5">
      <w:pPr>
        <w:ind w:left="0" w:hanging="2"/>
      </w:pPr>
    </w:p>
    <w:p w14:paraId="500F0D07" w14:textId="77777777" w:rsidR="00236FA5" w:rsidRDefault="00000000">
      <w:pPr>
        <w:ind w:left="0" w:hanging="2"/>
      </w:pPr>
      <w:r>
        <w:t xml:space="preserve">Schlatter, M., Scaramucci, M., Acuña, L. y Prati, S. (2010)  "CELPE-Bras e CELU: Impactos da Construção de Parãmetros Comuns de Avaliação de Proficiência em Português e em </w:t>
      </w:r>
      <w:r>
        <w:lastRenderedPageBreak/>
        <w:t xml:space="preserve">Espanhol",  en: </w:t>
      </w:r>
      <w:r>
        <w:rPr>
          <w:i/>
        </w:rPr>
        <w:t>O Português do Brasil como Língua Transnacional</w:t>
      </w:r>
      <w:r>
        <w:t xml:space="preserve">, org. Mónica G. Zoppi Fontana. Editora RG. ISBN 978-85-61622-11-4  (Conf. original presentada en español: </w:t>
      </w:r>
      <w:hyperlink r:id="rId8">
        <w:r>
          <w:rPr>
            <w:color w:val="1155CC"/>
            <w:u w:val="single"/>
          </w:rPr>
          <w:t>http://www.celu.edu.ar/es/node/20</w:t>
        </w:r>
      </w:hyperlink>
      <w:r>
        <w:t>)</w:t>
      </w:r>
    </w:p>
    <w:p w14:paraId="6C73A4D8" w14:textId="77777777" w:rsidR="00236FA5" w:rsidRDefault="00236FA5">
      <w:pPr>
        <w:ind w:left="0" w:hanging="2"/>
      </w:pPr>
    </w:p>
    <w:p w14:paraId="2B87ECD4" w14:textId="77777777" w:rsidR="00236FA5" w:rsidRDefault="00000000">
      <w:pPr>
        <w:keepNext/>
        <w:numPr>
          <w:ilvl w:val="0"/>
          <w:numId w:val="1"/>
        </w:numPr>
        <w:spacing w:before="240" w:after="60"/>
        <w:ind w:left="1" w:hanging="3"/>
      </w:pPr>
      <w:r>
        <w:rPr>
          <w:b/>
          <w:sz w:val="28"/>
          <w:szCs w:val="28"/>
        </w:rPr>
        <w:t>Bibliografía complementaria:</w:t>
      </w:r>
    </w:p>
    <w:p w14:paraId="18954C52" w14:textId="77777777" w:rsidR="00236FA5" w:rsidRPr="009E16BB" w:rsidRDefault="00000000">
      <w:pPr>
        <w:spacing w:before="240" w:line="288" w:lineRule="auto"/>
        <w:ind w:left="0" w:hanging="2"/>
        <w:rPr>
          <w:lang w:val="en-US"/>
        </w:rPr>
      </w:pPr>
      <w:r>
        <w:t xml:space="preserve">Shohamy, E; Donitsa-Schmidt y Ferman (1996). </w:t>
      </w:r>
      <w:r w:rsidRPr="009E16BB">
        <w:rPr>
          <w:lang w:val="en-US"/>
        </w:rPr>
        <w:t xml:space="preserve">“Test impact revisited: washback effect over time”, </w:t>
      </w:r>
      <w:r w:rsidRPr="009E16BB">
        <w:rPr>
          <w:i/>
          <w:lang w:val="en-US"/>
        </w:rPr>
        <w:t xml:space="preserve">Language Testing </w:t>
      </w:r>
      <w:r w:rsidRPr="009E16BB">
        <w:rPr>
          <w:lang w:val="en-US"/>
        </w:rPr>
        <w:t>(13: 298).</w:t>
      </w:r>
    </w:p>
    <w:p w14:paraId="329DAE52" w14:textId="77777777" w:rsidR="00236FA5" w:rsidRDefault="00000000">
      <w:pPr>
        <w:spacing w:before="240" w:line="288" w:lineRule="auto"/>
        <w:ind w:left="0" w:hanging="2"/>
      </w:pPr>
      <w:r w:rsidRPr="009E16BB">
        <w:rPr>
          <w:lang w:val="en-US"/>
        </w:rPr>
        <w:t xml:space="preserve">Shohamy, E. (2006). </w:t>
      </w:r>
      <w:r w:rsidRPr="009E16BB">
        <w:rPr>
          <w:i/>
          <w:lang w:val="en-US"/>
        </w:rPr>
        <w:t>Language policy: hidden agendas and new approaches</w:t>
      </w:r>
      <w:r w:rsidRPr="009E16BB">
        <w:rPr>
          <w:lang w:val="en-US"/>
        </w:rPr>
        <w:t xml:space="preserve">. </w:t>
      </w:r>
      <w:r>
        <w:t>New York, Routledge.</w:t>
      </w:r>
    </w:p>
    <w:p w14:paraId="66355308" w14:textId="77777777" w:rsidR="00236FA5" w:rsidRDefault="00236FA5">
      <w:pPr>
        <w:ind w:left="0" w:hanging="2"/>
      </w:pPr>
    </w:p>
    <w:p w14:paraId="26BF528B" w14:textId="77777777" w:rsidR="00236FA5" w:rsidRDefault="00236FA5">
      <w:pPr>
        <w:ind w:left="0" w:hanging="2"/>
      </w:pPr>
    </w:p>
    <w:p w14:paraId="14CE62E9" w14:textId="77777777" w:rsidR="00236FA5" w:rsidRDefault="00000000">
      <w:pPr>
        <w:keepNext/>
        <w:numPr>
          <w:ilvl w:val="1"/>
          <w:numId w:val="1"/>
        </w:numPr>
        <w:pBdr>
          <w:top w:val="nil"/>
          <w:left w:val="nil"/>
          <w:bottom w:val="nil"/>
          <w:right w:val="nil"/>
          <w:between w:val="nil"/>
        </w:pBdr>
        <w:spacing w:before="240" w:after="60" w:line="240" w:lineRule="auto"/>
        <w:ind w:left="1" w:hanging="3"/>
        <w:rPr>
          <w:rFonts w:ascii="Cambria" w:eastAsia="Cambria" w:hAnsi="Cambria" w:cs="Cambria"/>
          <w:b/>
          <w:i/>
          <w:color w:val="000000"/>
          <w:sz w:val="28"/>
          <w:szCs w:val="28"/>
        </w:rPr>
      </w:pPr>
      <w:r>
        <w:rPr>
          <w:rFonts w:ascii="Cambria" w:eastAsia="Cambria" w:hAnsi="Cambria" w:cs="Cambria"/>
          <w:b/>
          <w:i/>
          <w:color w:val="000000"/>
          <w:sz w:val="28"/>
          <w:szCs w:val="28"/>
        </w:rPr>
        <w:t>Bibliografía general</w:t>
      </w:r>
    </w:p>
    <w:p w14:paraId="4CB531E7" w14:textId="77777777" w:rsidR="00236FA5" w:rsidRDefault="00236FA5">
      <w:pPr>
        <w:ind w:left="0" w:hanging="2"/>
      </w:pPr>
    </w:p>
    <w:p w14:paraId="5E4839AB" w14:textId="77777777" w:rsidR="00236FA5" w:rsidRDefault="00000000">
      <w:pPr>
        <w:pBdr>
          <w:top w:val="nil"/>
          <w:left w:val="nil"/>
          <w:bottom w:val="nil"/>
          <w:right w:val="nil"/>
          <w:between w:val="nil"/>
        </w:pBdr>
        <w:spacing w:after="120" w:line="240" w:lineRule="auto"/>
        <w:ind w:left="0" w:hanging="2"/>
        <w:rPr>
          <w:color w:val="000000"/>
        </w:rPr>
      </w:pPr>
      <w:r w:rsidRPr="009E16BB">
        <w:rPr>
          <w:color w:val="000000"/>
          <w:lang w:val="en-US"/>
        </w:rPr>
        <w:t xml:space="preserve">Alderson, J. C. (2000). </w:t>
      </w:r>
      <w:r w:rsidRPr="009E16BB">
        <w:rPr>
          <w:i/>
          <w:color w:val="000000"/>
          <w:lang w:val="en-US"/>
        </w:rPr>
        <w:t>Assessing Reading</w:t>
      </w:r>
      <w:r w:rsidRPr="009E16BB">
        <w:rPr>
          <w:color w:val="000000"/>
          <w:lang w:val="en-US"/>
        </w:rPr>
        <w:t xml:space="preserve">. </w:t>
      </w:r>
      <w:r>
        <w:rPr>
          <w:color w:val="000000"/>
        </w:rPr>
        <w:t>Cambridge, Cambridge University Press</w:t>
      </w:r>
    </w:p>
    <w:p w14:paraId="13D92B4B" w14:textId="77777777" w:rsidR="00236FA5" w:rsidRDefault="00000000">
      <w:pPr>
        <w:pBdr>
          <w:top w:val="nil"/>
          <w:left w:val="nil"/>
          <w:bottom w:val="nil"/>
          <w:right w:val="nil"/>
          <w:between w:val="nil"/>
        </w:pBdr>
        <w:spacing w:before="240" w:line="288" w:lineRule="auto"/>
        <w:ind w:left="0" w:hanging="2"/>
        <w:rPr>
          <w:color w:val="000000"/>
        </w:rPr>
      </w:pPr>
      <w:r>
        <w:rPr>
          <w:color w:val="000000"/>
        </w:rPr>
        <w:t xml:space="preserve">Antón, M. (2013), </w:t>
      </w:r>
      <w:r>
        <w:rPr>
          <w:i/>
          <w:color w:val="000000"/>
        </w:rPr>
        <w:t>Métodos de evaluación de ELE</w:t>
      </w:r>
      <w:r>
        <w:rPr>
          <w:color w:val="000000"/>
        </w:rPr>
        <w:t>, Madrid, Arco Libros.</w:t>
      </w:r>
    </w:p>
    <w:p w14:paraId="0D5E8B61" w14:textId="77777777" w:rsidR="00236FA5" w:rsidRPr="009E16BB" w:rsidRDefault="00000000">
      <w:pPr>
        <w:pBdr>
          <w:top w:val="nil"/>
          <w:left w:val="nil"/>
          <w:bottom w:val="nil"/>
          <w:right w:val="nil"/>
          <w:between w:val="nil"/>
        </w:pBdr>
        <w:spacing w:before="240" w:line="288" w:lineRule="auto"/>
        <w:ind w:left="0" w:hanging="2"/>
        <w:rPr>
          <w:color w:val="000000"/>
          <w:lang w:val="en-US"/>
        </w:rPr>
      </w:pPr>
      <w:r w:rsidRPr="009E16BB">
        <w:rPr>
          <w:color w:val="000000"/>
          <w:lang w:val="en-US"/>
        </w:rPr>
        <w:t xml:space="preserve">Bachman, L. y Palmer, A. (1996); </w:t>
      </w:r>
      <w:r w:rsidRPr="009E16BB">
        <w:rPr>
          <w:i/>
          <w:color w:val="000000"/>
          <w:lang w:val="en-US"/>
        </w:rPr>
        <w:t>Language testing in practice: designing and developing useful language tests</w:t>
      </w:r>
      <w:r w:rsidRPr="009E16BB">
        <w:rPr>
          <w:color w:val="000000"/>
          <w:lang w:val="en-US"/>
        </w:rPr>
        <w:t>, Oxford, Oxford University Press</w:t>
      </w:r>
    </w:p>
    <w:p w14:paraId="7F15C560" w14:textId="77777777" w:rsidR="00236FA5" w:rsidRPr="009E16BB" w:rsidRDefault="00236FA5">
      <w:pPr>
        <w:pBdr>
          <w:top w:val="nil"/>
          <w:left w:val="nil"/>
          <w:bottom w:val="nil"/>
          <w:right w:val="nil"/>
          <w:between w:val="nil"/>
        </w:pBdr>
        <w:spacing w:line="288" w:lineRule="auto"/>
        <w:ind w:left="0" w:hanging="2"/>
        <w:rPr>
          <w:lang w:val="en-US"/>
        </w:rPr>
      </w:pPr>
    </w:p>
    <w:p w14:paraId="0141FC79" w14:textId="77777777" w:rsidR="00236FA5" w:rsidRDefault="00000000">
      <w:pPr>
        <w:pBdr>
          <w:top w:val="nil"/>
          <w:left w:val="nil"/>
          <w:bottom w:val="nil"/>
          <w:right w:val="nil"/>
          <w:between w:val="nil"/>
        </w:pBdr>
        <w:spacing w:line="288" w:lineRule="auto"/>
        <w:ind w:left="0" w:hanging="2"/>
        <w:rPr>
          <w:color w:val="000000"/>
        </w:rPr>
      </w:pPr>
      <w:r>
        <w:rPr>
          <w:color w:val="000000"/>
        </w:rPr>
        <w:t xml:space="preserve">Bordón, T. (2000). “La evaluación de la expresión oral en el aula de E/LE”. En </w:t>
      </w:r>
      <w:r>
        <w:rPr>
          <w:i/>
          <w:color w:val="000000"/>
        </w:rPr>
        <w:t>Carabela</w:t>
      </w:r>
      <w:r>
        <w:rPr>
          <w:color w:val="000000"/>
        </w:rPr>
        <w:t>, 47, pp. 151-175. </w:t>
      </w:r>
    </w:p>
    <w:p w14:paraId="5B7F6687" w14:textId="77777777" w:rsidR="00236FA5" w:rsidRDefault="00236FA5">
      <w:pPr>
        <w:pBdr>
          <w:top w:val="nil"/>
          <w:left w:val="nil"/>
          <w:bottom w:val="nil"/>
          <w:right w:val="nil"/>
          <w:between w:val="nil"/>
        </w:pBdr>
        <w:spacing w:after="120" w:line="240" w:lineRule="auto"/>
        <w:ind w:left="0" w:hanging="2"/>
        <w:rPr>
          <w:color w:val="000000"/>
        </w:rPr>
      </w:pPr>
    </w:p>
    <w:p w14:paraId="418D2834" w14:textId="77777777" w:rsidR="00236FA5" w:rsidRDefault="00000000">
      <w:pPr>
        <w:pBdr>
          <w:top w:val="nil"/>
          <w:left w:val="nil"/>
          <w:bottom w:val="nil"/>
          <w:right w:val="nil"/>
          <w:between w:val="nil"/>
        </w:pBdr>
        <w:spacing w:line="288" w:lineRule="auto"/>
        <w:ind w:left="0" w:hanging="2"/>
        <w:rPr>
          <w:color w:val="000000"/>
        </w:rPr>
      </w:pPr>
      <w:r>
        <w:rPr>
          <w:color w:val="000000"/>
        </w:rPr>
        <w:t xml:space="preserve">Bordón, T. (2000). “La evaluación de la comprensión de textos escritos en aprendices de E/LE”. En: </w:t>
      </w:r>
      <w:r>
        <w:rPr>
          <w:i/>
          <w:color w:val="000000"/>
        </w:rPr>
        <w:t>Carabela</w:t>
      </w:r>
      <w:r>
        <w:rPr>
          <w:color w:val="000000"/>
        </w:rPr>
        <w:t>, 48, pp 111-136.</w:t>
      </w:r>
    </w:p>
    <w:p w14:paraId="5F4C2C0E" w14:textId="77777777" w:rsidR="00236FA5" w:rsidRDefault="00000000">
      <w:pPr>
        <w:spacing w:before="240" w:line="288" w:lineRule="auto"/>
        <w:ind w:left="0" w:hanging="2"/>
      </w:pPr>
      <w:r>
        <w:t>Bordón, T. (2004)</w:t>
      </w:r>
      <w:r>
        <w:rPr>
          <w:color w:val="333333"/>
        </w:rPr>
        <w:t xml:space="preserve"> “Panorama histórico del desarrollo de algunas de las cuestiones fundamentales en la evaluación de segundas lenguas”</w:t>
      </w:r>
      <w:r>
        <w:t xml:space="preserve">, </w:t>
      </w:r>
      <w:r>
        <w:rPr>
          <w:i/>
        </w:rPr>
        <w:t>Carabela</w:t>
      </w:r>
      <w:r>
        <w:t xml:space="preserve"> (55), pp. 5-29 Disponible en:</w:t>
      </w:r>
      <w:hyperlink r:id="rId9">
        <w:r>
          <w:t xml:space="preserve"> </w:t>
        </w:r>
      </w:hyperlink>
      <w:hyperlink r:id="rId10">
        <w:r>
          <w:rPr>
            <w:color w:val="0000FF"/>
            <w:u w:val="single"/>
          </w:rPr>
          <w:t>http://marcoele.com/monograficos/evaluacion/</w:t>
        </w:r>
      </w:hyperlink>
    </w:p>
    <w:p w14:paraId="0842F4C6" w14:textId="77777777" w:rsidR="00236FA5" w:rsidRDefault="00236FA5">
      <w:pPr>
        <w:spacing w:line="288" w:lineRule="auto"/>
        <w:ind w:left="0" w:hanging="2"/>
      </w:pPr>
    </w:p>
    <w:p w14:paraId="0BB501B0" w14:textId="77777777" w:rsidR="00236FA5" w:rsidRPr="009E16BB" w:rsidRDefault="00000000">
      <w:pPr>
        <w:spacing w:line="288" w:lineRule="auto"/>
        <w:ind w:left="0" w:hanging="2"/>
        <w:rPr>
          <w:lang w:val="en-US"/>
        </w:rPr>
      </w:pPr>
      <w:r>
        <w:t xml:space="preserve">Bordón M., T. (2006). </w:t>
      </w:r>
      <w:r>
        <w:rPr>
          <w:i/>
        </w:rPr>
        <w:t>La evaluación de la lengua en el marco de E/EL: Bases y procedimientos</w:t>
      </w:r>
      <w:r>
        <w:t xml:space="preserve">. </w:t>
      </w:r>
      <w:r w:rsidRPr="009E16BB">
        <w:rPr>
          <w:lang w:val="en-US"/>
        </w:rPr>
        <w:t>Madrid, Arco Libros.</w:t>
      </w:r>
    </w:p>
    <w:p w14:paraId="3A0E616E" w14:textId="77777777" w:rsidR="00236FA5" w:rsidRPr="009E16BB" w:rsidRDefault="00236FA5">
      <w:pPr>
        <w:pBdr>
          <w:top w:val="nil"/>
          <w:left w:val="nil"/>
          <w:bottom w:val="nil"/>
          <w:right w:val="nil"/>
          <w:between w:val="nil"/>
        </w:pBdr>
        <w:spacing w:after="120" w:line="240" w:lineRule="auto"/>
        <w:ind w:left="0" w:hanging="2"/>
        <w:rPr>
          <w:color w:val="000000"/>
          <w:lang w:val="en-US"/>
        </w:rPr>
      </w:pPr>
    </w:p>
    <w:p w14:paraId="54BC7E0B" w14:textId="77777777" w:rsidR="00236FA5" w:rsidRPr="009E16BB" w:rsidRDefault="00000000">
      <w:pPr>
        <w:pBdr>
          <w:top w:val="nil"/>
          <w:left w:val="nil"/>
          <w:bottom w:val="nil"/>
          <w:right w:val="nil"/>
          <w:between w:val="nil"/>
        </w:pBdr>
        <w:spacing w:line="288" w:lineRule="auto"/>
        <w:ind w:left="0" w:hanging="2"/>
        <w:rPr>
          <w:color w:val="000000"/>
          <w:lang w:val="en-US"/>
        </w:rPr>
      </w:pPr>
      <w:r w:rsidRPr="009E16BB">
        <w:rPr>
          <w:color w:val="000000"/>
          <w:lang w:val="en-US"/>
        </w:rPr>
        <w:t xml:space="preserve">Brown, G., Malmkjær, K., &amp; Williams, J. (Eds.). (1996). </w:t>
      </w:r>
      <w:r w:rsidRPr="009E16BB">
        <w:rPr>
          <w:i/>
          <w:color w:val="000000"/>
          <w:lang w:val="en-US"/>
        </w:rPr>
        <w:t>Performance and competence in second language acquisition</w:t>
      </w:r>
      <w:r w:rsidRPr="009E16BB">
        <w:rPr>
          <w:color w:val="000000"/>
          <w:lang w:val="en-US"/>
        </w:rPr>
        <w:t>. Cambridge university press.</w:t>
      </w:r>
    </w:p>
    <w:p w14:paraId="5E3C57F7" w14:textId="77777777" w:rsidR="00236FA5" w:rsidRPr="009E16BB" w:rsidRDefault="00236FA5">
      <w:pPr>
        <w:pBdr>
          <w:top w:val="nil"/>
          <w:left w:val="nil"/>
          <w:bottom w:val="nil"/>
          <w:right w:val="nil"/>
          <w:between w:val="nil"/>
        </w:pBdr>
        <w:spacing w:after="120" w:line="240" w:lineRule="auto"/>
        <w:ind w:left="0" w:hanging="2"/>
        <w:rPr>
          <w:color w:val="000000"/>
          <w:lang w:val="en-US"/>
        </w:rPr>
      </w:pPr>
    </w:p>
    <w:p w14:paraId="4C07951E" w14:textId="77777777" w:rsidR="00236FA5" w:rsidRDefault="00000000">
      <w:pPr>
        <w:pBdr>
          <w:top w:val="nil"/>
          <w:left w:val="nil"/>
          <w:bottom w:val="nil"/>
          <w:right w:val="nil"/>
          <w:between w:val="nil"/>
        </w:pBdr>
        <w:spacing w:line="288" w:lineRule="auto"/>
        <w:ind w:left="0" w:hanging="2"/>
        <w:rPr>
          <w:color w:val="000000"/>
        </w:rPr>
      </w:pPr>
      <w:r w:rsidRPr="009E16BB">
        <w:rPr>
          <w:color w:val="000000"/>
          <w:lang w:val="en-US"/>
        </w:rPr>
        <w:lastRenderedPageBreak/>
        <w:t>Consejo de Europa</w:t>
      </w:r>
      <w:r w:rsidRPr="009E16BB">
        <w:rPr>
          <w:i/>
          <w:color w:val="000000"/>
          <w:lang w:val="en-US"/>
        </w:rPr>
        <w:t xml:space="preserve"> </w:t>
      </w:r>
      <w:r w:rsidRPr="009E16BB">
        <w:rPr>
          <w:color w:val="000000"/>
          <w:lang w:val="en-US"/>
        </w:rPr>
        <w:t xml:space="preserve">(2020). </w:t>
      </w:r>
      <w:r w:rsidRPr="009E16BB">
        <w:rPr>
          <w:i/>
          <w:color w:val="000000"/>
          <w:lang w:val="en-US"/>
        </w:rPr>
        <w:t>Common European Framework of Reference for Languages: Learning, teaching, assessment – Companion volume</w:t>
      </w:r>
      <w:r w:rsidRPr="009E16BB">
        <w:rPr>
          <w:color w:val="000000"/>
          <w:lang w:val="en-US"/>
        </w:rPr>
        <w:t xml:space="preserve">, Council of Europe Publishing, Strasbourg. </w:t>
      </w:r>
      <w:r>
        <w:rPr>
          <w:color w:val="000000"/>
        </w:rPr>
        <w:t>Disponible en www.coe.int/lang-cefr.</w:t>
      </w:r>
    </w:p>
    <w:p w14:paraId="59F07970" w14:textId="77777777" w:rsidR="00236FA5" w:rsidRPr="009E16BB" w:rsidRDefault="00000000">
      <w:pPr>
        <w:pBdr>
          <w:top w:val="nil"/>
          <w:left w:val="nil"/>
          <w:bottom w:val="nil"/>
          <w:right w:val="nil"/>
          <w:between w:val="nil"/>
        </w:pBdr>
        <w:spacing w:before="240" w:line="288" w:lineRule="auto"/>
        <w:ind w:left="0" w:hanging="2"/>
        <w:rPr>
          <w:color w:val="000000"/>
          <w:lang w:val="en-US"/>
        </w:rPr>
      </w:pPr>
      <w:r>
        <w:rPr>
          <w:color w:val="000000"/>
        </w:rPr>
        <w:t xml:space="preserve">Douglas Brown, H. (2004). </w:t>
      </w:r>
      <w:r w:rsidRPr="009E16BB">
        <w:rPr>
          <w:i/>
          <w:color w:val="000000"/>
          <w:lang w:val="en-US"/>
        </w:rPr>
        <w:t>Language Assessment: principles and classroom practices.</w:t>
      </w:r>
      <w:r w:rsidRPr="009E16BB">
        <w:rPr>
          <w:color w:val="000000"/>
          <w:lang w:val="en-US"/>
        </w:rPr>
        <w:t xml:space="preserve"> Longman.</w:t>
      </w:r>
    </w:p>
    <w:p w14:paraId="796F99D9" w14:textId="77777777" w:rsidR="00236FA5" w:rsidRPr="009E16BB" w:rsidRDefault="00000000">
      <w:pPr>
        <w:pBdr>
          <w:top w:val="nil"/>
          <w:left w:val="nil"/>
          <w:bottom w:val="nil"/>
          <w:right w:val="nil"/>
          <w:between w:val="nil"/>
        </w:pBdr>
        <w:spacing w:before="240" w:line="288" w:lineRule="auto"/>
        <w:ind w:left="0" w:hanging="2"/>
        <w:rPr>
          <w:color w:val="000000"/>
          <w:lang w:val="en-US"/>
        </w:rPr>
      </w:pPr>
      <w:r w:rsidRPr="009E16BB">
        <w:rPr>
          <w:color w:val="000000"/>
          <w:lang w:val="en-US"/>
        </w:rPr>
        <w:t xml:space="preserve">Douglas, D. (2010). </w:t>
      </w:r>
      <w:r w:rsidRPr="009E16BB">
        <w:rPr>
          <w:i/>
          <w:color w:val="000000"/>
          <w:lang w:val="en-US"/>
        </w:rPr>
        <w:t>Understanding Language Testing.</w:t>
      </w:r>
      <w:r w:rsidRPr="009E16BB">
        <w:rPr>
          <w:color w:val="000000"/>
          <w:lang w:val="en-US"/>
        </w:rPr>
        <w:t xml:space="preserve"> Hodder Education.</w:t>
      </w:r>
    </w:p>
    <w:p w14:paraId="496E03B5" w14:textId="77777777" w:rsidR="00236FA5" w:rsidRPr="009E16BB" w:rsidRDefault="00000000">
      <w:pPr>
        <w:pBdr>
          <w:top w:val="nil"/>
          <w:left w:val="nil"/>
          <w:bottom w:val="nil"/>
          <w:right w:val="nil"/>
          <w:between w:val="nil"/>
        </w:pBdr>
        <w:spacing w:before="240" w:line="288" w:lineRule="auto"/>
        <w:ind w:left="0" w:hanging="2"/>
        <w:rPr>
          <w:color w:val="000000"/>
          <w:lang w:val="en-US"/>
        </w:rPr>
      </w:pPr>
      <w:r w:rsidRPr="009E16BB">
        <w:rPr>
          <w:color w:val="000000"/>
          <w:lang w:val="en-US"/>
        </w:rPr>
        <w:t xml:space="preserve">Fernández, S. (2003). </w:t>
      </w:r>
      <w:r>
        <w:rPr>
          <w:i/>
          <w:color w:val="000000"/>
        </w:rPr>
        <w:t xml:space="preserve">Propuesta curricular y marco común europeo de referencia. </w:t>
      </w:r>
      <w:r w:rsidRPr="009E16BB">
        <w:rPr>
          <w:i/>
          <w:color w:val="000000"/>
          <w:lang w:val="en-US"/>
        </w:rPr>
        <w:t>Desarrollo por tareas</w:t>
      </w:r>
      <w:r w:rsidRPr="009E16BB">
        <w:rPr>
          <w:color w:val="000000"/>
          <w:lang w:val="en-US"/>
        </w:rPr>
        <w:t>. Madrid, Edinumen.</w:t>
      </w:r>
    </w:p>
    <w:p w14:paraId="1C91038F" w14:textId="77777777" w:rsidR="00236FA5" w:rsidRPr="009E16BB" w:rsidRDefault="00000000">
      <w:pPr>
        <w:pBdr>
          <w:top w:val="nil"/>
          <w:left w:val="nil"/>
          <w:bottom w:val="nil"/>
          <w:right w:val="nil"/>
          <w:between w:val="nil"/>
        </w:pBdr>
        <w:spacing w:before="240" w:line="288" w:lineRule="auto"/>
        <w:ind w:left="0" w:hanging="2"/>
        <w:rPr>
          <w:color w:val="000000"/>
          <w:lang w:val="en-US"/>
        </w:rPr>
      </w:pPr>
      <w:r w:rsidRPr="009E16BB">
        <w:rPr>
          <w:color w:val="000000"/>
          <w:lang w:val="en-US"/>
        </w:rPr>
        <w:t xml:space="preserve">Fulcher, G. (2010). </w:t>
      </w:r>
      <w:r w:rsidRPr="009E16BB">
        <w:rPr>
          <w:i/>
          <w:color w:val="000000"/>
          <w:lang w:val="en-US"/>
        </w:rPr>
        <w:t>Practical Language Testing</w:t>
      </w:r>
      <w:r w:rsidRPr="009E16BB">
        <w:rPr>
          <w:color w:val="000000"/>
          <w:lang w:val="en-US"/>
        </w:rPr>
        <w:t>. Londres, Hodder Education.</w:t>
      </w:r>
    </w:p>
    <w:p w14:paraId="02423F66" w14:textId="77777777" w:rsidR="00236FA5" w:rsidRPr="009E16BB" w:rsidRDefault="00000000">
      <w:pPr>
        <w:pBdr>
          <w:top w:val="nil"/>
          <w:left w:val="nil"/>
          <w:bottom w:val="nil"/>
          <w:right w:val="nil"/>
          <w:between w:val="nil"/>
        </w:pBdr>
        <w:spacing w:before="240" w:line="288" w:lineRule="auto"/>
        <w:ind w:left="0" w:hanging="2"/>
        <w:rPr>
          <w:color w:val="000000"/>
          <w:lang w:val="en-US"/>
        </w:rPr>
      </w:pPr>
      <w:r w:rsidRPr="009E16BB">
        <w:rPr>
          <w:color w:val="000000"/>
          <w:lang w:val="en-US"/>
        </w:rPr>
        <w:t xml:space="preserve">Fulcher, G. y Davidson, F. (2007). </w:t>
      </w:r>
      <w:r w:rsidRPr="009E16BB">
        <w:rPr>
          <w:i/>
          <w:color w:val="000000"/>
          <w:lang w:val="en-US"/>
        </w:rPr>
        <w:t>Language testing and asessment: an advanced resource book</w:t>
      </w:r>
      <w:r w:rsidRPr="009E16BB">
        <w:rPr>
          <w:color w:val="000000"/>
          <w:lang w:val="en-US"/>
        </w:rPr>
        <w:t>, New York, Routledge.</w:t>
      </w:r>
    </w:p>
    <w:p w14:paraId="4286D33E" w14:textId="77777777" w:rsidR="00236FA5" w:rsidRDefault="00000000">
      <w:pPr>
        <w:pBdr>
          <w:top w:val="nil"/>
          <w:left w:val="nil"/>
          <w:bottom w:val="nil"/>
          <w:right w:val="nil"/>
          <w:between w:val="nil"/>
        </w:pBdr>
        <w:spacing w:before="240" w:line="288" w:lineRule="auto"/>
        <w:ind w:left="0" w:hanging="2"/>
        <w:rPr>
          <w:color w:val="000000"/>
        </w:rPr>
      </w:pPr>
      <w:r>
        <w:rPr>
          <w:color w:val="000000"/>
        </w:rPr>
        <w:t xml:space="preserve">González Argüello, M. V. y J. T. Pujóla Font (2008). “El uso del portafolio reflexivo del profesor para la autoevaluación en la formación continua”, en </w:t>
      </w:r>
      <w:r>
        <w:rPr>
          <w:i/>
          <w:color w:val="000000"/>
        </w:rPr>
        <w:t>MarcoEle</w:t>
      </w:r>
      <w:r>
        <w:rPr>
          <w:color w:val="000000"/>
        </w:rPr>
        <w:t>, n° 7. </w:t>
      </w:r>
    </w:p>
    <w:p w14:paraId="4962CB4A" w14:textId="77777777" w:rsidR="00236FA5" w:rsidRDefault="00236FA5">
      <w:pPr>
        <w:pBdr>
          <w:top w:val="nil"/>
          <w:left w:val="nil"/>
          <w:bottom w:val="nil"/>
          <w:right w:val="nil"/>
          <w:between w:val="nil"/>
        </w:pBdr>
        <w:spacing w:after="120" w:line="240" w:lineRule="auto"/>
        <w:ind w:left="0" w:hanging="2"/>
        <w:rPr>
          <w:color w:val="000000"/>
        </w:rPr>
      </w:pPr>
    </w:p>
    <w:p w14:paraId="6E1DB796" w14:textId="77777777" w:rsidR="00236FA5" w:rsidRPr="009E16BB" w:rsidRDefault="00000000">
      <w:pPr>
        <w:pBdr>
          <w:top w:val="nil"/>
          <w:left w:val="nil"/>
          <w:bottom w:val="nil"/>
          <w:right w:val="nil"/>
          <w:between w:val="nil"/>
        </w:pBdr>
        <w:spacing w:line="288" w:lineRule="auto"/>
        <w:ind w:left="0" w:hanging="2"/>
        <w:rPr>
          <w:color w:val="000000"/>
          <w:lang w:val="en-US"/>
        </w:rPr>
      </w:pPr>
      <w:r w:rsidRPr="009E16BB">
        <w:rPr>
          <w:color w:val="000000"/>
          <w:lang w:val="en-US"/>
        </w:rPr>
        <w:t xml:space="preserve">Hadley, A. O., y E. Reiken (1993). </w:t>
      </w:r>
      <w:r w:rsidRPr="009E16BB">
        <w:rPr>
          <w:i/>
          <w:color w:val="000000"/>
          <w:lang w:val="en-US"/>
        </w:rPr>
        <w:t>Teaching Language in Context, and Teaching Language in Context--Workbook</w:t>
      </w:r>
      <w:r w:rsidRPr="009E16BB">
        <w:rPr>
          <w:color w:val="000000"/>
          <w:lang w:val="en-US"/>
        </w:rPr>
        <w:t>. Heinle &amp; Heinle Publishers.</w:t>
      </w:r>
    </w:p>
    <w:p w14:paraId="0518F04E" w14:textId="77777777" w:rsidR="00236FA5" w:rsidRPr="009E16BB" w:rsidRDefault="00000000">
      <w:pPr>
        <w:pBdr>
          <w:top w:val="nil"/>
          <w:left w:val="nil"/>
          <w:bottom w:val="nil"/>
          <w:right w:val="nil"/>
          <w:between w:val="nil"/>
        </w:pBdr>
        <w:spacing w:before="240" w:line="288" w:lineRule="auto"/>
        <w:ind w:left="0" w:hanging="2"/>
        <w:rPr>
          <w:color w:val="000000"/>
          <w:lang w:val="en-US"/>
        </w:rPr>
      </w:pPr>
      <w:r w:rsidRPr="009E16BB">
        <w:rPr>
          <w:color w:val="000000"/>
          <w:lang w:val="en-US"/>
        </w:rPr>
        <w:t xml:space="preserve">Hymes, D. (1972); "On communicative competence". </w:t>
      </w:r>
      <w:r w:rsidRPr="009E16BB">
        <w:rPr>
          <w:i/>
          <w:color w:val="000000"/>
          <w:lang w:val="en-US"/>
        </w:rPr>
        <w:t>Sociolinguistics</w:t>
      </w:r>
      <w:r w:rsidRPr="009E16BB">
        <w:rPr>
          <w:color w:val="000000"/>
          <w:lang w:val="en-US"/>
        </w:rPr>
        <w:t>. Eds. Pride, J.B. y J. Holmes. Londres: Penguin Books, pp. 269-293.</w:t>
      </w:r>
    </w:p>
    <w:p w14:paraId="28C788B9" w14:textId="77777777" w:rsidR="00236FA5" w:rsidRPr="009E16BB" w:rsidRDefault="00000000">
      <w:pPr>
        <w:pBdr>
          <w:top w:val="nil"/>
          <w:left w:val="nil"/>
          <w:bottom w:val="nil"/>
          <w:right w:val="nil"/>
          <w:between w:val="nil"/>
        </w:pBdr>
        <w:spacing w:before="240" w:line="288" w:lineRule="auto"/>
        <w:ind w:left="0" w:hanging="2"/>
        <w:rPr>
          <w:color w:val="000000"/>
          <w:lang w:val="en-US"/>
        </w:rPr>
      </w:pPr>
      <w:r w:rsidRPr="009E16BB">
        <w:rPr>
          <w:color w:val="000000"/>
          <w:lang w:val="en-US"/>
        </w:rPr>
        <w:t xml:space="preserve">Hughes, A (1989) </w:t>
      </w:r>
      <w:r w:rsidRPr="009E16BB">
        <w:rPr>
          <w:i/>
          <w:color w:val="000000"/>
          <w:lang w:val="en-US"/>
        </w:rPr>
        <w:t>Testing for language teachers</w:t>
      </w:r>
      <w:r w:rsidRPr="009E16BB">
        <w:rPr>
          <w:color w:val="000000"/>
          <w:lang w:val="en-US"/>
        </w:rPr>
        <w:t>, Cambridge, Cambridge University Press.</w:t>
      </w:r>
    </w:p>
    <w:p w14:paraId="09D4F761" w14:textId="77777777" w:rsidR="00236FA5" w:rsidRPr="009E16BB" w:rsidRDefault="00000000">
      <w:pPr>
        <w:pBdr>
          <w:top w:val="nil"/>
          <w:left w:val="nil"/>
          <w:bottom w:val="nil"/>
          <w:right w:val="nil"/>
          <w:between w:val="nil"/>
        </w:pBdr>
        <w:spacing w:before="240" w:line="288" w:lineRule="auto"/>
        <w:ind w:left="0" w:hanging="2"/>
        <w:rPr>
          <w:color w:val="000000"/>
          <w:lang w:val="en-US"/>
        </w:rPr>
      </w:pPr>
      <w:r>
        <w:rPr>
          <w:color w:val="000000"/>
        </w:rPr>
        <w:t xml:space="preserve">Klenowski, V. (2007). </w:t>
      </w:r>
      <w:r>
        <w:rPr>
          <w:i/>
          <w:color w:val="000000"/>
        </w:rPr>
        <w:t>Desarrollo de portafolios para el aprendizaje y la evaluación</w:t>
      </w:r>
      <w:r>
        <w:rPr>
          <w:color w:val="000000"/>
        </w:rPr>
        <w:t xml:space="preserve">. </w:t>
      </w:r>
      <w:r w:rsidRPr="009E16BB">
        <w:rPr>
          <w:color w:val="000000"/>
          <w:lang w:val="en-US"/>
        </w:rPr>
        <w:t>Madrid, Narcea.</w:t>
      </w:r>
    </w:p>
    <w:p w14:paraId="4A22F35E" w14:textId="77777777" w:rsidR="00236FA5" w:rsidRPr="009E16BB" w:rsidRDefault="00000000">
      <w:pPr>
        <w:pBdr>
          <w:top w:val="nil"/>
          <w:left w:val="nil"/>
          <w:bottom w:val="nil"/>
          <w:right w:val="nil"/>
          <w:between w:val="nil"/>
        </w:pBdr>
        <w:spacing w:before="240" w:line="288" w:lineRule="auto"/>
        <w:ind w:left="0" w:hanging="2"/>
        <w:rPr>
          <w:color w:val="000000"/>
          <w:lang w:val="en-US"/>
        </w:rPr>
      </w:pPr>
      <w:r w:rsidRPr="009E16BB">
        <w:rPr>
          <w:color w:val="000000"/>
          <w:lang w:val="en-US"/>
        </w:rPr>
        <w:t xml:space="preserve">Lewkowicz, (2004) "The integrated testing of a Second Language”, en </w:t>
      </w:r>
      <w:r w:rsidRPr="009E16BB">
        <w:rPr>
          <w:i/>
          <w:color w:val="000000"/>
          <w:lang w:val="en-US"/>
        </w:rPr>
        <w:t>Encyclopedia of Language and Education, Volume 7: Language Testing and Assessment</w:t>
      </w:r>
      <w:r w:rsidRPr="009E16BB">
        <w:rPr>
          <w:color w:val="000000"/>
          <w:lang w:val="en-US"/>
        </w:rPr>
        <w:t>. Springer.</w:t>
      </w:r>
    </w:p>
    <w:p w14:paraId="39DF40A7" w14:textId="77777777" w:rsidR="00236FA5" w:rsidRPr="009E16BB" w:rsidRDefault="00000000">
      <w:pPr>
        <w:pBdr>
          <w:top w:val="nil"/>
          <w:left w:val="nil"/>
          <w:bottom w:val="nil"/>
          <w:right w:val="nil"/>
          <w:between w:val="nil"/>
        </w:pBdr>
        <w:spacing w:before="240" w:line="288" w:lineRule="auto"/>
        <w:ind w:left="0" w:hanging="2"/>
        <w:rPr>
          <w:color w:val="000000"/>
          <w:lang w:val="en-US"/>
        </w:rPr>
      </w:pPr>
      <w:r w:rsidRPr="009E16BB">
        <w:rPr>
          <w:color w:val="000000"/>
          <w:lang w:val="en-US"/>
        </w:rPr>
        <w:t xml:space="preserve">Mc Namara, T. (2006); </w:t>
      </w:r>
      <w:r w:rsidRPr="009E16BB">
        <w:rPr>
          <w:i/>
          <w:color w:val="000000"/>
          <w:lang w:val="en-US"/>
        </w:rPr>
        <w:t>Language testing: the social dimension</w:t>
      </w:r>
      <w:r w:rsidRPr="009E16BB">
        <w:rPr>
          <w:color w:val="000000"/>
          <w:lang w:val="en-US"/>
        </w:rPr>
        <w:t>. Oxford, Wiley Blackwell. </w:t>
      </w:r>
    </w:p>
    <w:p w14:paraId="44C028E6" w14:textId="77777777" w:rsidR="00236FA5" w:rsidRPr="009E16BB" w:rsidRDefault="00236FA5">
      <w:pPr>
        <w:pBdr>
          <w:top w:val="nil"/>
          <w:left w:val="nil"/>
          <w:bottom w:val="nil"/>
          <w:right w:val="nil"/>
          <w:between w:val="nil"/>
        </w:pBdr>
        <w:spacing w:after="120" w:line="240" w:lineRule="auto"/>
        <w:ind w:left="0" w:hanging="2"/>
        <w:rPr>
          <w:color w:val="000000"/>
          <w:lang w:val="en-US"/>
        </w:rPr>
      </w:pPr>
    </w:p>
    <w:p w14:paraId="1AEDDE6B" w14:textId="77777777" w:rsidR="00236FA5" w:rsidRDefault="00000000">
      <w:pPr>
        <w:pBdr>
          <w:top w:val="nil"/>
          <w:left w:val="nil"/>
          <w:bottom w:val="nil"/>
          <w:right w:val="nil"/>
          <w:between w:val="nil"/>
        </w:pBdr>
        <w:spacing w:line="288" w:lineRule="auto"/>
        <w:ind w:left="0" w:hanging="2"/>
        <w:rPr>
          <w:color w:val="000000"/>
        </w:rPr>
      </w:pPr>
      <w:r>
        <w:rPr>
          <w:color w:val="000000"/>
        </w:rPr>
        <w:t xml:space="preserve">Muriete, R.N. (2007) </w:t>
      </w:r>
      <w:r>
        <w:rPr>
          <w:i/>
          <w:color w:val="000000"/>
        </w:rPr>
        <w:t>El examen en la Universidad. La instancia de la evaluación como actividad sociopolítica</w:t>
      </w:r>
      <w:r>
        <w:rPr>
          <w:color w:val="000000"/>
        </w:rPr>
        <w:t>. Buenos Aires, Biblos.</w:t>
      </w:r>
    </w:p>
    <w:p w14:paraId="327A60B3" w14:textId="77777777" w:rsidR="00236FA5" w:rsidRDefault="00236FA5">
      <w:pPr>
        <w:pBdr>
          <w:top w:val="nil"/>
          <w:left w:val="nil"/>
          <w:bottom w:val="nil"/>
          <w:right w:val="nil"/>
          <w:between w:val="nil"/>
        </w:pBdr>
        <w:spacing w:after="120" w:line="240" w:lineRule="auto"/>
        <w:ind w:left="0" w:hanging="2"/>
        <w:rPr>
          <w:color w:val="000000"/>
        </w:rPr>
      </w:pPr>
    </w:p>
    <w:p w14:paraId="1BDC84DA" w14:textId="77777777" w:rsidR="00236FA5" w:rsidRDefault="00000000">
      <w:pPr>
        <w:pBdr>
          <w:top w:val="nil"/>
          <w:left w:val="nil"/>
          <w:bottom w:val="nil"/>
          <w:right w:val="nil"/>
          <w:between w:val="nil"/>
        </w:pBdr>
        <w:spacing w:line="288" w:lineRule="auto"/>
        <w:ind w:left="0" w:hanging="2"/>
        <w:rPr>
          <w:color w:val="000000"/>
        </w:rPr>
      </w:pPr>
      <w:r>
        <w:rPr>
          <w:color w:val="000000"/>
        </w:rPr>
        <w:t xml:space="preserve">Nascimento Flores, V. (ed) (2005). </w:t>
      </w:r>
      <w:r>
        <w:rPr>
          <w:i/>
          <w:color w:val="000000"/>
        </w:rPr>
        <w:t xml:space="preserve">A Redação no Contexto do Vestibular 2005. A avaliação em perspectiva. </w:t>
      </w:r>
      <w:r>
        <w:rPr>
          <w:color w:val="000000"/>
        </w:rPr>
        <w:t>Comissão Permanente de Seleção COPERSE/UFRGS, UFRGS Editora.</w:t>
      </w:r>
    </w:p>
    <w:p w14:paraId="75E16028" w14:textId="77777777" w:rsidR="00236FA5" w:rsidRDefault="00236FA5">
      <w:pPr>
        <w:pBdr>
          <w:top w:val="nil"/>
          <w:left w:val="nil"/>
          <w:bottom w:val="nil"/>
          <w:right w:val="nil"/>
          <w:between w:val="nil"/>
        </w:pBdr>
        <w:spacing w:after="120" w:line="240" w:lineRule="auto"/>
        <w:ind w:left="0" w:hanging="2"/>
        <w:rPr>
          <w:color w:val="000000"/>
        </w:rPr>
      </w:pPr>
    </w:p>
    <w:p w14:paraId="6232CAE0" w14:textId="77777777" w:rsidR="00236FA5" w:rsidRPr="009E16BB" w:rsidRDefault="00000000">
      <w:pPr>
        <w:pBdr>
          <w:top w:val="nil"/>
          <w:left w:val="nil"/>
          <w:bottom w:val="nil"/>
          <w:right w:val="nil"/>
          <w:between w:val="nil"/>
        </w:pBdr>
        <w:spacing w:line="288" w:lineRule="auto"/>
        <w:ind w:left="0" w:hanging="2"/>
        <w:rPr>
          <w:color w:val="000000"/>
          <w:lang w:val="en-US"/>
        </w:rPr>
      </w:pPr>
      <w:r w:rsidRPr="009E16BB">
        <w:rPr>
          <w:color w:val="000000"/>
          <w:lang w:val="en-US"/>
        </w:rPr>
        <w:t xml:space="preserve">Popham, W. J. (2008). </w:t>
      </w:r>
      <w:r w:rsidRPr="009E16BB">
        <w:rPr>
          <w:i/>
          <w:color w:val="000000"/>
          <w:lang w:val="en-US"/>
        </w:rPr>
        <w:t>Transformative assessment</w:t>
      </w:r>
      <w:r w:rsidRPr="009E16BB">
        <w:rPr>
          <w:color w:val="000000"/>
          <w:lang w:val="en-US"/>
        </w:rPr>
        <w:t>. Alexandria, VA: Association for Supervisión and Curriculum Development.</w:t>
      </w:r>
    </w:p>
    <w:p w14:paraId="519DE664" w14:textId="77777777" w:rsidR="00236FA5" w:rsidRPr="009E16BB" w:rsidRDefault="00236FA5">
      <w:pPr>
        <w:pBdr>
          <w:top w:val="nil"/>
          <w:left w:val="nil"/>
          <w:bottom w:val="nil"/>
          <w:right w:val="nil"/>
          <w:between w:val="nil"/>
        </w:pBdr>
        <w:spacing w:after="120" w:line="240" w:lineRule="auto"/>
        <w:ind w:left="0" w:hanging="2"/>
        <w:rPr>
          <w:color w:val="000000"/>
          <w:lang w:val="en-US"/>
        </w:rPr>
      </w:pPr>
    </w:p>
    <w:p w14:paraId="319C5D33" w14:textId="77777777" w:rsidR="00236FA5" w:rsidRDefault="00000000">
      <w:pPr>
        <w:pBdr>
          <w:top w:val="nil"/>
          <w:left w:val="nil"/>
          <w:bottom w:val="nil"/>
          <w:right w:val="nil"/>
          <w:between w:val="nil"/>
        </w:pBdr>
        <w:spacing w:line="288" w:lineRule="auto"/>
        <w:ind w:left="0" w:hanging="2"/>
        <w:rPr>
          <w:color w:val="000000"/>
        </w:rPr>
      </w:pPr>
      <w:r>
        <w:rPr>
          <w:color w:val="000000"/>
        </w:rPr>
        <w:t xml:space="preserve">Prati, S. (2007). </w:t>
      </w:r>
      <w:r>
        <w:rPr>
          <w:i/>
          <w:color w:val="000000"/>
        </w:rPr>
        <w:t>La evaluación en Español Lengua extranjera</w:t>
      </w:r>
      <w:r>
        <w:rPr>
          <w:color w:val="000000"/>
        </w:rPr>
        <w:t>. Buenos Aires, De la Araucaria.</w:t>
      </w:r>
    </w:p>
    <w:p w14:paraId="56B04352" w14:textId="77777777" w:rsidR="00236FA5" w:rsidRPr="009E16BB" w:rsidRDefault="00000000">
      <w:pPr>
        <w:pBdr>
          <w:top w:val="nil"/>
          <w:left w:val="nil"/>
          <w:bottom w:val="nil"/>
          <w:right w:val="nil"/>
          <w:between w:val="nil"/>
        </w:pBdr>
        <w:spacing w:before="240" w:line="288" w:lineRule="auto"/>
        <w:ind w:left="0" w:hanging="2"/>
        <w:rPr>
          <w:color w:val="000000"/>
          <w:lang w:val="en-US"/>
        </w:rPr>
      </w:pPr>
      <w:r w:rsidRPr="009E16BB">
        <w:rPr>
          <w:color w:val="000000"/>
          <w:lang w:val="en-US"/>
        </w:rPr>
        <w:t xml:space="preserve">Shohamy, E. (2006). </w:t>
      </w:r>
      <w:r w:rsidRPr="009E16BB">
        <w:rPr>
          <w:i/>
          <w:color w:val="000000"/>
          <w:lang w:val="en-US"/>
        </w:rPr>
        <w:t>Language policy: hidden agendas and new approaches</w:t>
      </w:r>
      <w:r w:rsidRPr="009E16BB">
        <w:rPr>
          <w:color w:val="000000"/>
          <w:lang w:val="en-US"/>
        </w:rPr>
        <w:t>. New York, Routledge.</w:t>
      </w:r>
    </w:p>
    <w:p w14:paraId="431379CE" w14:textId="77777777" w:rsidR="00236FA5" w:rsidRPr="009E16BB" w:rsidRDefault="00000000">
      <w:pPr>
        <w:pBdr>
          <w:top w:val="nil"/>
          <w:left w:val="nil"/>
          <w:bottom w:val="nil"/>
          <w:right w:val="nil"/>
          <w:between w:val="nil"/>
        </w:pBdr>
        <w:spacing w:before="240" w:line="288" w:lineRule="auto"/>
        <w:ind w:left="0" w:hanging="2"/>
        <w:rPr>
          <w:color w:val="000000"/>
          <w:lang w:val="en-US"/>
        </w:rPr>
      </w:pPr>
      <w:r w:rsidRPr="009E16BB">
        <w:rPr>
          <w:color w:val="000000"/>
          <w:lang w:val="en-US"/>
        </w:rPr>
        <w:t xml:space="preserve">Stern, H. H., Tarone, E. E., Stern, H. H., Yule, G., &amp; Stern, H. (1983). </w:t>
      </w:r>
      <w:r w:rsidRPr="009E16BB">
        <w:rPr>
          <w:i/>
          <w:color w:val="000000"/>
          <w:lang w:val="en-US"/>
        </w:rPr>
        <w:t>Fundamental concepts of language teaching: Historical and interdisciplinary perspectives on applied linguistic research</w:t>
      </w:r>
      <w:r w:rsidRPr="009E16BB">
        <w:rPr>
          <w:color w:val="000000"/>
          <w:lang w:val="en-US"/>
        </w:rPr>
        <w:t>. Oxford university press.</w:t>
      </w:r>
    </w:p>
    <w:p w14:paraId="5D34A595" w14:textId="77777777" w:rsidR="00236FA5" w:rsidRPr="009E16BB" w:rsidRDefault="00000000">
      <w:pPr>
        <w:pBdr>
          <w:top w:val="nil"/>
          <w:left w:val="nil"/>
          <w:bottom w:val="nil"/>
          <w:right w:val="nil"/>
          <w:between w:val="nil"/>
        </w:pBdr>
        <w:spacing w:before="240" w:line="288" w:lineRule="auto"/>
        <w:ind w:left="0" w:hanging="2"/>
        <w:rPr>
          <w:color w:val="000000"/>
          <w:lang w:val="en-US"/>
        </w:rPr>
      </w:pPr>
      <w:r w:rsidRPr="009E16BB">
        <w:rPr>
          <w:color w:val="000000"/>
          <w:lang w:val="en-US"/>
        </w:rPr>
        <w:t xml:space="preserve">Underhill, N. (1987). </w:t>
      </w:r>
      <w:r w:rsidRPr="009E16BB">
        <w:rPr>
          <w:i/>
          <w:color w:val="000000"/>
          <w:lang w:val="en-US"/>
        </w:rPr>
        <w:t>Testing Spoken Language</w:t>
      </w:r>
      <w:r w:rsidRPr="009E16BB">
        <w:rPr>
          <w:color w:val="000000"/>
          <w:lang w:val="en-US"/>
        </w:rPr>
        <w:t>. Cambridge, Cambridge University Press.</w:t>
      </w:r>
    </w:p>
    <w:p w14:paraId="47C1257D" w14:textId="77777777" w:rsidR="00236FA5" w:rsidRPr="009E16BB" w:rsidRDefault="00236FA5">
      <w:pPr>
        <w:pBdr>
          <w:top w:val="nil"/>
          <w:left w:val="nil"/>
          <w:bottom w:val="nil"/>
          <w:right w:val="nil"/>
          <w:between w:val="nil"/>
        </w:pBdr>
        <w:spacing w:after="120" w:line="240" w:lineRule="auto"/>
        <w:ind w:left="0" w:hanging="2"/>
        <w:rPr>
          <w:color w:val="000000"/>
          <w:lang w:val="en-US"/>
        </w:rPr>
      </w:pPr>
    </w:p>
    <w:p w14:paraId="57C7F683" w14:textId="77777777" w:rsidR="00236FA5" w:rsidRDefault="00000000">
      <w:pPr>
        <w:pBdr>
          <w:top w:val="nil"/>
          <w:left w:val="nil"/>
          <w:bottom w:val="nil"/>
          <w:right w:val="nil"/>
          <w:between w:val="nil"/>
        </w:pBdr>
        <w:spacing w:line="288" w:lineRule="auto"/>
        <w:ind w:left="0" w:hanging="2"/>
        <w:rPr>
          <w:color w:val="000000"/>
        </w:rPr>
      </w:pPr>
      <w:r w:rsidRPr="009E16BB">
        <w:rPr>
          <w:color w:val="000000"/>
          <w:lang w:val="en-US"/>
        </w:rPr>
        <w:t xml:space="preserve">Weir, C. J. (1995). </w:t>
      </w:r>
      <w:r w:rsidRPr="009E16BB">
        <w:rPr>
          <w:i/>
          <w:color w:val="000000"/>
          <w:lang w:val="en-US"/>
        </w:rPr>
        <w:t>Understanding and Developing Language Tests</w:t>
      </w:r>
      <w:r w:rsidRPr="009E16BB">
        <w:rPr>
          <w:color w:val="000000"/>
          <w:lang w:val="en-US"/>
        </w:rPr>
        <w:t xml:space="preserve">. </w:t>
      </w:r>
      <w:r>
        <w:rPr>
          <w:color w:val="000000"/>
        </w:rPr>
        <w:t>Hemel Hempstead, Prentice Hab International.</w:t>
      </w:r>
    </w:p>
    <w:p w14:paraId="2D48F215" w14:textId="77777777" w:rsidR="00236FA5" w:rsidRDefault="00000000">
      <w:pPr>
        <w:pBdr>
          <w:top w:val="nil"/>
          <w:left w:val="nil"/>
          <w:bottom w:val="nil"/>
          <w:right w:val="nil"/>
          <w:between w:val="nil"/>
        </w:pBdr>
        <w:spacing w:after="120" w:line="240" w:lineRule="auto"/>
        <w:ind w:left="0" w:hanging="2"/>
        <w:rPr>
          <w:rFonts w:ascii="Cambria" w:eastAsia="Cambria" w:hAnsi="Cambria" w:cs="Cambria"/>
          <w:color w:val="000000"/>
          <w:sz w:val="28"/>
          <w:szCs w:val="28"/>
        </w:rPr>
      </w:pPr>
      <w:r>
        <w:rPr>
          <w:color w:val="000000"/>
        </w:rPr>
        <w:br/>
      </w:r>
    </w:p>
    <w:p w14:paraId="627BD815" w14:textId="77777777" w:rsidR="00236FA5" w:rsidRDefault="00000000">
      <w:pPr>
        <w:ind w:left="1" w:hanging="3"/>
      </w:pPr>
      <w:r>
        <w:rPr>
          <w:rFonts w:ascii="Cambria" w:eastAsia="Cambria" w:hAnsi="Cambria" w:cs="Cambria"/>
          <w:b/>
          <w:i/>
          <w:sz w:val="28"/>
          <w:szCs w:val="28"/>
        </w:rPr>
        <w:t>Modalidad de dictado a distancia</w:t>
      </w:r>
      <w:r>
        <w:rPr>
          <w:rFonts w:ascii="Cambria" w:eastAsia="Cambria" w:hAnsi="Cambria" w:cs="Cambria"/>
          <w:i/>
          <w:sz w:val="28"/>
          <w:szCs w:val="28"/>
        </w:rPr>
        <w:t xml:space="preserve">: </w:t>
      </w:r>
    </w:p>
    <w:p w14:paraId="441D9045" w14:textId="77777777" w:rsidR="00236FA5" w:rsidRDefault="00000000">
      <w:pPr>
        <w:ind w:left="0" w:hanging="2"/>
      </w:pPr>
      <w:r>
        <w:t>El material de clase de la semana se publicará los días jueves, e incluirá videos explicativos, guías de lectura, actividades para realizar de forma individual o grupal, etc. Se ofrecerán clases sincrónicas de forma quincenal los sábados a las 9 y a las 11:30, que serán grabadas y compartidas con los/as cursantes.</w:t>
      </w:r>
    </w:p>
    <w:p w14:paraId="3D347D76" w14:textId="77777777" w:rsidR="00236FA5" w:rsidRDefault="00236FA5">
      <w:pPr>
        <w:ind w:left="0" w:hanging="2"/>
      </w:pPr>
    </w:p>
    <w:p w14:paraId="21BDDBE7" w14:textId="77777777" w:rsidR="00236FA5" w:rsidRDefault="00236FA5">
      <w:pPr>
        <w:ind w:left="0" w:hanging="2"/>
      </w:pPr>
    </w:p>
    <w:sectPr w:rsidR="00236FA5">
      <w:pgSz w:w="11906" w:h="16838"/>
      <w:pgMar w:top="1417" w:right="1701"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FreeSans">
    <w:panose1 w:val="00000000000000000000"/>
    <w:charset w:val="00"/>
    <w:family w:val="roman"/>
    <w:notTrueType/>
    <w:pitch w:val="default"/>
  </w:font>
  <w:font w:name="Liberation Sans">
    <w:panose1 w:val="00000000000000000000"/>
    <w:charset w:val="00"/>
    <w:family w:val="roman"/>
    <w:notTrueType/>
    <w:pitch w:val="default"/>
  </w:font>
  <w:font w:name="DejaVu Sans">
    <w:panose1 w:val="00000000000000000000"/>
    <w:charset w:val="00"/>
    <w:family w:val="roman"/>
    <w:notTrueType/>
    <w:pitch w:val="default"/>
  </w:font>
  <w:font w:name="Droid Sans">
    <w:panose1 w:val="00000000000000000000"/>
    <w:charset w:val="00"/>
    <w:family w:val="roman"/>
    <w:notTrueType/>
    <w:pitch w:val="default"/>
  </w:font>
  <w:font w:name="Georgia">
    <w:panose1 w:val="02040502050405020303"/>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75C56"/>
    <w:multiLevelType w:val="multilevel"/>
    <w:tmpl w:val="3B52157E"/>
    <w:lvl w:ilvl="0">
      <w:start w:val="1"/>
      <w:numFmt w:val="decimal"/>
      <w:pStyle w:val="Ttulo1"/>
      <w:lvlText w:val=""/>
      <w:lvlJc w:val="left"/>
      <w:pPr>
        <w:ind w:left="0" w:firstLine="0"/>
      </w:pPr>
      <w:rPr>
        <w:vertAlign w:val="baseline"/>
      </w:rPr>
    </w:lvl>
    <w:lvl w:ilvl="1">
      <w:start w:val="1"/>
      <w:numFmt w:val="decimal"/>
      <w:pStyle w:val="Ttulo2"/>
      <w:lvlText w:val=""/>
      <w:lvlJc w:val="left"/>
      <w:pPr>
        <w:ind w:left="0" w:firstLine="0"/>
      </w:pPr>
      <w:rPr>
        <w:vertAlign w:val="baseline"/>
      </w:rPr>
    </w:lvl>
    <w:lvl w:ilvl="2">
      <w:start w:val="1"/>
      <w:numFmt w:val="decimal"/>
      <w:pStyle w:val="Ttulo3"/>
      <w:lvlText w:val=""/>
      <w:lvlJc w:val="left"/>
      <w:pPr>
        <w:ind w:left="0" w:firstLine="0"/>
      </w:pPr>
      <w:rPr>
        <w:vertAlign w:val="baseline"/>
      </w:rPr>
    </w:lvl>
    <w:lvl w:ilvl="3">
      <w:start w:val="1"/>
      <w:numFmt w:val="decimal"/>
      <w:pStyle w:val="Ttulo4"/>
      <w:lvlText w:val=""/>
      <w:lvlJc w:val="left"/>
      <w:pPr>
        <w:ind w:left="0" w:firstLine="0"/>
      </w:pPr>
      <w:rPr>
        <w:vertAlign w:val="baseline"/>
      </w:rPr>
    </w:lvl>
    <w:lvl w:ilvl="4">
      <w:start w:val="1"/>
      <w:numFmt w:val="decimal"/>
      <w:pStyle w:val="Ttulo5"/>
      <w:lvlText w:val=""/>
      <w:lvlJc w:val="left"/>
      <w:pPr>
        <w:ind w:left="0" w:firstLine="0"/>
      </w:pPr>
      <w:rPr>
        <w:vertAlign w:val="baseline"/>
      </w:rPr>
    </w:lvl>
    <w:lvl w:ilvl="5">
      <w:start w:val="1"/>
      <w:numFmt w:val="decimal"/>
      <w:pStyle w:val="Ttulo6"/>
      <w:lvlText w:val=""/>
      <w:lvlJc w:val="left"/>
      <w:pPr>
        <w:ind w:left="0" w:firstLine="0"/>
      </w:pPr>
      <w:rPr>
        <w:vertAlign w:val="baseline"/>
      </w:rPr>
    </w:lvl>
    <w:lvl w:ilvl="6">
      <w:start w:val="1"/>
      <w:numFmt w:val="decimal"/>
      <w:pStyle w:val="Ttulo7"/>
      <w:lvlText w:val=""/>
      <w:lvlJc w:val="left"/>
      <w:pPr>
        <w:ind w:left="0" w:firstLine="0"/>
      </w:pPr>
      <w:rPr>
        <w:vertAlign w:val="baseline"/>
      </w:rPr>
    </w:lvl>
    <w:lvl w:ilvl="7">
      <w:start w:val="1"/>
      <w:numFmt w:val="decimal"/>
      <w:pStyle w:val="Ttulo8"/>
      <w:lvlText w:val=""/>
      <w:lvlJc w:val="left"/>
      <w:pPr>
        <w:ind w:left="0" w:firstLine="0"/>
      </w:pPr>
      <w:rPr>
        <w:vertAlign w:val="baseline"/>
      </w:rPr>
    </w:lvl>
    <w:lvl w:ilvl="8">
      <w:start w:val="1"/>
      <w:numFmt w:val="decimal"/>
      <w:pStyle w:val="Ttulo9"/>
      <w:lvlText w:val=""/>
      <w:lvlJc w:val="left"/>
      <w:pPr>
        <w:ind w:left="0" w:firstLine="0"/>
      </w:pPr>
      <w:rPr>
        <w:vertAlign w:val="baseline"/>
      </w:rPr>
    </w:lvl>
  </w:abstractNum>
  <w:num w:numId="1" w16cid:durableId="1680498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FA5"/>
    <w:rsid w:val="00236FA5"/>
    <w:rsid w:val="009E1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1A618"/>
  <w15:docId w15:val="{22A7B377-8323-4E07-B522-3B215037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A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ar-SA"/>
    </w:rPr>
  </w:style>
  <w:style w:type="paragraph" w:styleId="Ttulo1">
    <w:name w:val="heading 1"/>
    <w:basedOn w:val="Normal"/>
    <w:next w:val="Normal"/>
    <w:uiPriority w:val="9"/>
    <w:qFormat/>
    <w:pPr>
      <w:keepNext/>
      <w:numPr>
        <w:numId w:val="1"/>
      </w:numPr>
      <w:spacing w:before="240" w:after="60"/>
      <w:ind w:left="-1" w:hanging="1"/>
      <w:jc w:val="center"/>
    </w:pPr>
    <w:rPr>
      <w:rFonts w:ascii="Cambria" w:eastAsia="Times New Roman" w:hAnsi="Cambria" w:cs="Cambria"/>
      <w:b/>
      <w:bCs/>
      <w:kern w:val="1"/>
      <w:sz w:val="32"/>
      <w:szCs w:val="32"/>
    </w:rPr>
  </w:style>
  <w:style w:type="paragraph" w:styleId="Ttulo2">
    <w:name w:val="heading 2"/>
    <w:basedOn w:val="Normal"/>
    <w:next w:val="Normal"/>
    <w:uiPriority w:val="9"/>
    <w:semiHidden/>
    <w:unhideWhenUsed/>
    <w:qFormat/>
    <w:pPr>
      <w:keepNext/>
      <w:numPr>
        <w:ilvl w:val="1"/>
        <w:numId w:val="1"/>
      </w:numPr>
      <w:spacing w:before="240" w:after="60"/>
      <w:ind w:left="-1" w:hanging="1"/>
      <w:outlineLvl w:val="1"/>
    </w:pPr>
    <w:rPr>
      <w:rFonts w:ascii="Cambria" w:eastAsia="Times New Roman" w:hAnsi="Cambria" w:cs="Cambria"/>
      <w:b/>
      <w:bCs/>
      <w:i/>
      <w:iCs/>
      <w:sz w:val="28"/>
      <w:szCs w:val="28"/>
    </w:rPr>
  </w:style>
  <w:style w:type="paragraph" w:styleId="Ttulo3">
    <w:name w:val="heading 3"/>
    <w:basedOn w:val="Normal"/>
    <w:next w:val="Normal"/>
    <w:uiPriority w:val="9"/>
    <w:semiHidden/>
    <w:unhideWhenUsed/>
    <w:qFormat/>
    <w:pPr>
      <w:keepNext/>
      <w:numPr>
        <w:ilvl w:val="2"/>
        <w:numId w:val="1"/>
      </w:numPr>
      <w:spacing w:before="240" w:after="60"/>
      <w:ind w:left="-1" w:hanging="1"/>
      <w:outlineLvl w:val="2"/>
    </w:pPr>
    <w:rPr>
      <w:rFonts w:ascii="Cambria" w:eastAsia="Times New Roman" w:hAnsi="Cambria" w:cs="Cambria"/>
      <w:b/>
      <w:bCs/>
      <w:sz w:val="26"/>
      <w:szCs w:val="26"/>
      <w:u w:val="single"/>
    </w:rPr>
  </w:style>
  <w:style w:type="paragraph" w:styleId="Ttulo4">
    <w:name w:val="heading 4"/>
    <w:basedOn w:val="Normal"/>
    <w:next w:val="Normal"/>
    <w:uiPriority w:val="9"/>
    <w:semiHidden/>
    <w:unhideWhenUsed/>
    <w:qFormat/>
    <w:pPr>
      <w:keepNext/>
      <w:numPr>
        <w:ilvl w:val="3"/>
        <w:numId w:val="1"/>
      </w:numPr>
      <w:spacing w:before="240" w:after="60"/>
      <w:ind w:left="-1" w:hanging="1"/>
      <w:outlineLvl w:val="3"/>
    </w:pPr>
    <w:rPr>
      <w:b/>
      <w:bCs/>
      <w:sz w:val="28"/>
      <w:szCs w:val="28"/>
    </w:rPr>
  </w:style>
  <w:style w:type="paragraph" w:styleId="Ttulo5">
    <w:name w:val="heading 5"/>
    <w:basedOn w:val="Normal"/>
    <w:next w:val="Normal"/>
    <w:uiPriority w:val="9"/>
    <w:semiHidden/>
    <w:unhideWhenUsed/>
    <w:qFormat/>
    <w:pPr>
      <w:numPr>
        <w:ilvl w:val="4"/>
        <w:numId w:val="1"/>
      </w:numPr>
      <w:spacing w:before="240" w:after="60"/>
      <w:ind w:left="-1" w:hanging="1"/>
      <w:outlineLvl w:val="4"/>
    </w:pPr>
    <w:rPr>
      <w:b/>
      <w:bCs/>
      <w:i/>
      <w:iCs/>
      <w:sz w:val="26"/>
      <w:szCs w:val="26"/>
    </w:rPr>
  </w:style>
  <w:style w:type="paragraph" w:styleId="Ttulo6">
    <w:name w:val="heading 6"/>
    <w:basedOn w:val="Normal"/>
    <w:next w:val="Normal"/>
    <w:uiPriority w:val="9"/>
    <w:semiHidden/>
    <w:unhideWhenUsed/>
    <w:qFormat/>
    <w:pPr>
      <w:numPr>
        <w:ilvl w:val="5"/>
        <w:numId w:val="1"/>
      </w:numPr>
      <w:spacing w:before="240" w:after="60"/>
      <w:ind w:left="-1" w:hanging="1"/>
      <w:outlineLvl w:val="5"/>
    </w:pPr>
    <w:rPr>
      <w:b/>
      <w:bCs/>
      <w:sz w:val="22"/>
      <w:szCs w:val="22"/>
    </w:rPr>
  </w:style>
  <w:style w:type="paragraph" w:styleId="Ttulo7">
    <w:name w:val="heading 7"/>
    <w:basedOn w:val="Normal"/>
    <w:next w:val="Normal"/>
    <w:pPr>
      <w:numPr>
        <w:ilvl w:val="6"/>
        <w:numId w:val="1"/>
      </w:numPr>
      <w:spacing w:before="240" w:after="60"/>
      <w:ind w:left="-1" w:hanging="1"/>
      <w:outlineLvl w:val="6"/>
    </w:pPr>
  </w:style>
  <w:style w:type="paragraph" w:styleId="Ttulo8">
    <w:name w:val="heading 8"/>
    <w:basedOn w:val="Normal"/>
    <w:next w:val="Normal"/>
    <w:pPr>
      <w:numPr>
        <w:ilvl w:val="7"/>
        <w:numId w:val="1"/>
      </w:numPr>
      <w:spacing w:before="240" w:after="60"/>
      <w:ind w:left="-1" w:hanging="1"/>
      <w:outlineLvl w:val="7"/>
    </w:pPr>
    <w:rPr>
      <w:i/>
      <w:iCs/>
    </w:rPr>
  </w:style>
  <w:style w:type="paragraph" w:styleId="Ttulo9">
    <w:name w:val="heading 9"/>
    <w:basedOn w:val="Normal"/>
    <w:next w:val="Normal"/>
    <w:pPr>
      <w:numPr>
        <w:ilvl w:val="8"/>
        <w:numId w:val="1"/>
      </w:numPr>
      <w:spacing w:before="240" w:after="60"/>
      <w:ind w:left="-1" w:hanging="1"/>
      <w:outlineLvl w:val="8"/>
    </w:pPr>
    <w:rPr>
      <w:rFonts w:ascii="Cambria" w:eastAsia="Times New Roman" w:hAnsi="Cambria" w:cs="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Fuentedeprrafopredeter3">
    <w:name w:val="Fuente de párrafo predeter.3"/>
    <w:rPr>
      <w:w w:val="100"/>
      <w:position w:val="-1"/>
      <w:effect w:val="none"/>
      <w:vertAlign w:val="baseline"/>
      <w:cs w:val="0"/>
      <w:em w:val="none"/>
    </w:rPr>
  </w:style>
  <w:style w:type="character" w:customStyle="1" w:styleId="Fuentedeprrafopredeter2">
    <w:name w:val="Fuente de párrafo predeter.2"/>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2z0">
    <w:name w:val="WW8Num2z0"/>
    <w:rPr>
      <w:rFonts w:ascii="Symbol" w:hAnsi="Symbol" w:cs="OpenSymbol"/>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Fuentedeprrafopredeter1">
    <w:name w:val="Fuente de párrafo predeter.1"/>
    <w:rPr>
      <w:w w:val="100"/>
      <w:position w:val="-1"/>
      <w:effect w:val="none"/>
      <w:vertAlign w:val="baseline"/>
      <w:cs w:val="0"/>
      <w:em w:val="none"/>
    </w:rPr>
  </w:style>
  <w:style w:type="character" w:customStyle="1" w:styleId="Caracteresdenotaalpie">
    <w:name w:val="Caracteres de nota al pie"/>
    <w:rPr>
      <w:w w:val="100"/>
      <w:position w:val="-1"/>
      <w:effect w:val="none"/>
      <w:vertAlign w:val="superscript"/>
      <w:cs w:val="0"/>
      <w:em w:val="none"/>
    </w:rPr>
  </w:style>
  <w:style w:type="character" w:customStyle="1" w:styleId="Refdenotaalpie1">
    <w:name w:val="Ref. de nota al pie1"/>
    <w:rPr>
      <w:w w:val="100"/>
      <w:position w:val="-1"/>
      <w:effect w:val="none"/>
      <w:vertAlign w:val="superscript"/>
      <w:cs w:val="0"/>
      <w:em w:val="none"/>
    </w:rPr>
  </w:style>
  <w:style w:type="character" w:customStyle="1" w:styleId="Caracteresdenotafinal">
    <w:name w:val="Caracteres de nota final"/>
    <w:rPr>
      <w:w w:val="100"/>
      <w:position w:val="-1"/>
      <w:effect w:val="none"/>
      <w:vertAlign w:val="superscript"/>
      <w:cs w:val="0"/>
      <w:em w:val="none"/>
    </w:rPr>
  </w:style>
  <w:style w:type="character" w:customStyle="1" w:styleId="WW-Caracteresdenotafinal">
    <w:name w:val="WW-Caracteres de nota final"/>
    <w:rPr>
      <w:w w:val="100"/>
      <w:position w:val="-1"/>
      <w:effect w:val="none"/>
      <w:vertAlign w:val="baseline"/>
      <w:cs w:val="0"/>
      <w:em w:val="none"/>
    </w:rPr>
  </w:style>
  <w:style w:type="character" w:customStyle="1" w:styleId="Vietas">
    <w:name w:val="Viñetas"/>
    <w:rPr>
      <w:rFonts w:ascii="OpenSymbol" w:eastAsia="OpenSymbol" w:hAnsi="OpenSymbol" w:cs="OpenSymbol"/>
      <w:w w:val="100"/>
      <w:position w:val="-1"/>
      <w:effect w:val="none"/>
      <w:vertAlign w:val="baseline"/>
      <w:cs w:val="0"/>
      <w:em w:val="none"/>
    </w:rPr>
  </w:style>
  <w:style w:type="character" w:styleId="Hipervnculo">
    <w:name w:val="Hyperlink"/>
    <w:rPr>
      <w:color w:val="000080"/>
      <w:w w:val="100"/>
      <w:position w:val="-1"/>
      <w:u w:val="single"/>
      <w:effect w:val="none"/>
      <w:vertAlign w:val="baseline"/>
      <w:cs w:val="0"/>
      <w:em w:val="none"/>
      <w:lang/>
    </w:rPr>
  </w:style>
  <w:style w:type="character" w:customStyle="1" w:styleId="EncabezadoCar">
    <w:name w:val="Encabezado Car"/>
    <w:rPr>
      <w:w w:val="100"/>
      <w:position w:val="-1"/>
      <w:sz w:val="24"/>
      <w:szCs w:val="24"/>
      <w:effect w:val="none"/>
      <w:vertAlign w:val="baseline"/>
      <w:cs w:val="0"/>
      <w:em w:val="none"/>
      <w:lang w:val="es-ES"/>
    </w:rPr>
  </w:style>
  <w:style w:type="character" w:customStyle="1" w:styleId="PiedepginaCar">
    <w:name w:val="Pie de página Car"/>
    <w:rPr>
      <w:w w:val="100"/>
      <w:position w:val="-1"/>
      <w:sz w:val="24"/>
      <w:szCs w:val="24"/>
      <w:effect w:val="none"/>
      <w:vertAlign w:val="baseline"/>
      <w:cs w:val="0"/>
      <w:em w:val="none"/>
      <w:lang w:val="es-ES"/>
    </w:rPr>
  </w:style>
  <w:style w:type="character" w:customStyle="1" w:styleId="Ttulo1Car">
    <w:name w:val="Título 1 Car"/>
    <w:rPr>
      <w:rFonts w:ascii="Cambria" w:eastAsia="Times New Roman" w:hAnsi="Cambria" w:cs="Cambria"/>
      <w:b/>
      <w:bCs/>
      <w:w w:val="100"/>
      <w:kern w:val="1"/>
      <w:position w:val="-1"/>
      <w:sz w:val="32"/>
      <w:szCs w:val="32"/>
      <w:effect w:val="none"/>
      <w:vertAlign w:val="baseline"/>
      <w:cs w:val="0"/>
      <w:em w:val="none"/>
    </w:rPr>
  </w:style>
  <w:style w:type="character" w:customStyle="1" w:styleId="Ttulo2Car">
    <w:name w:val="Título 2 Car"/>
    <w:rPr>
      <w:rFonts w:ascii="Cambria" w:eastAsia="Times New Roman" w:hAnsi="Cambria" w:cs="Cambria"/>
      <w:b/>
      <w:bCs/>
      <w:i/>
      <w:iCs/>
      <w:w w:val="100"/>
      <w:position w:val="-1"/>
      <w:sz w:val="28"/>
      <w:szCs w:val="28"/>
      <w:effect w:val="none"/>
      <w:vertAlign w:val="baseline"/>
      <w:cs w:val="0"/>
      <w:em w:val="none"/>
    </w:rPr>
  </w:style>
  <w:style w:type="character" w:customStyle="1" w:styleId="Ttulo3Car">
    <w:name w:val="Título 3 Car"/>
    <w:rPr>
      <w:rFonts w:ascii="Cambria" w:eastAsia="Times New Roman" w:hAnsi="Cambria" w:cs="Cambria"/>
      <w:b/>
      <w:bCs/>
      <w:w w:val="100"/>
      <w:position w:val="-1"/>
      <w:sz w:val="26"/>
      <w:szCs w:val="26"/>
      <w:u w:val="single"/>
      <w:effect w:val="none"/>
      <w:vertAlign w:val="baseline"/>
      <w:cs w:val="0"/>
      <w:em w:val="none"/>
    </w:rPr>
  </w:style>
  <w:style w:type="character" w:customStyle="1" w:styleId="Ttulo4Car">
    <w:name w:val="Título 4 Car"/>
    <w:rPr>
      <w:b/>
      <w:bCs/>
      <w:w w:val="100"/>
      <w:position w:val="-1"/>
      <w:sz w:val="28"/>
      <w:szCs w:val="28"/>
      <w:effect w:val="none"/>
      <w:vertAlign w:val="baseline"/>
      <w:cs w:val="0"/>
      <w:em w:val="none"/>
    </w:rPr>
  </w:style>
  <w:style w:type="character" w:customStyle="1" w:styleId="Ttulo5Car">
    <w:name w:val="Título 5 Car"/>
    <w:rPr>
      <w:b/>
      <w:bCs/>
      <w:i/>
      <w:iCs/>
      <w:w w:val="100"/>
      <w:position w:val="-1"/>
      <w:sz w:val="26"/>
      <w:szCs w:val="26"/>
      <w:effect w:val="none"/>
      <w:vertAlign w:val="baseline"/>
      <w:cs w:val="0"/>
      <w:em w:val="none"/>
    </w:rPr>
  </w:style>
  <w:style w:type="character" w:customStyle="1" w:styleId="Ttulo6Car">
    <w:name w:val="Título 6 Car"/>
    <w:rPr>
      <w:b/>
      <w:bCs/>
      <w:w w:val="100"/>
      <w:position w:val="-1"/>
      <w:effect w:val="none"/>
      <w:vertAlign w:val="baseline"/>
      <w:cs w:val="0"/>
      <w:em w:val="none"/>
    </w:rPr>
  </w:style>
  <w:style w:type="character" w:customStyle="1" w:styleId="Ttulo7Car">
    <w:name w:val="Título 7 Car"/>
    <w:rPr>
      <w:w w:val="100"/>
      <w:position w:val="-1"/>
      <w:sz w:val="24"/>
      <w:szCs w:val="24"/>
      <w:effect w:val="none"/>
      <w:vertAlign w:val="baseline"/>
      <w:cs w:val="0"/>
      <w:em w:val="none"/>
    </w:rPr>
  </w:style>
  <w:style w:type="character" w:customStyle="1" w:styleId="Ttulo8Car">
    <w:name w:val="Título 8 Car"/>
    <w:rPr>
      <w:i/>
      <w:iCs/>
      <w:w w:val="100"/>
      <w:position w:val="-1"/>
      <w:sz w:val="24"/>
      <w:szCs w:val="24"/>
      <w:effect w:val="none"/>
      <w:vertAlign w:val="baseline"/>
      <w:cs w:val="0"/>
      <w:em w:val="none"/>
    </w:rPr>
  </w:style>
  <w:style w:type="character" w:customStyle="1" w:styleId="Ttulo9Car">
    <w:name w:val="Título 9 Car"/>
    <w:rPr>
      <w:rFonts w:ascii="Cambria" w:eastAsia="Times New Roman" w:hAnsi="Cambria" w:cs="Cambria"/>
      <w:w w:val="100"/>
      <w:position w:val="-1"/>
      <w:effect w:val="none"/>
      <w:vertAlign w:val="baseline"/>
      <w:cs w:val="0"/>
      <w:em w:val="none"/>
    </w:rPr>
  </w:style>
  <w:style w:type="character" w:customStyle="1" w:styleId="TtuloCar">
    <w:name w:val="Título Car"/>
    <w:rPr>
      <w:rFonts w:ascii="Cambria" w:eastAsia="Times New Roman" w:hAnsi="Cambria" w:cs="Cambria"/>
      <w:b/>
      <w:bCs/>
      <w:w w:val="100"/>
      <w:kern w:val="1"/>
      <w:position w:val="-1"/>
      <w:sz w:val="32"/>
      <w:szCs w:val="32"/>
      <w:effect w:val="none"/>
      <w:vertAlign w:val="baseline"/>
      <w:cs w:val="0"/>
      <w:em w:val="none"/>
    </w:rPr>
  </w:style>
  <w:style w:type="character" w:customStyle="1" w:styleId="SubttuloCar">
    <w:name w:val="Subtítulo Car"/>
    <w:rPr>
      <w:rFonts w:ascii="Cambria" w:eastAsia="Times New Roman" w:hAnsi="Cambria" w:cs="Cambria"/>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character" w:styleId="nfasis">
    <w:name w:val="Emphasis"/>
    <w:rPr>
      <w:rFonts w:ascii="Calibri" w:hAnsi="Calibri" w:cs="Calibri"/>
      <w:b/>
      <w:i/>
      <w:iCs/>
      <w:w w:val="100"/>
      <w:position w:val="-1"/>
      <w:effect w:val="none"/>
      <w:vertAlign w:val="baseline"/>
      <w:cs w:val="0"/>
      <w:em w:val="none"/>
    </w:rPr>
  </w:style>
  <w:style w:type="character" w:customStyle="1" w:styleId="CitaCar">
    <w:name w:val="Cita Car"/>
    <w:rPr>
      <w:i/>
      <w:w w:val="100"/>
      <w:position w:val="-1"/>
      <w:sz w:val="24"/>
      <w:szCs w:val="24"/>
      <w:effect w:val="none"/>
      <w:vertAlign w:val="baseline"/>
      <w:cs w:val="0"/>
      <w:em w:val="none"/>
    </w:rPr>
  </w:style>
  <w:style w:type="character" w:customStyle="1" w:styleId="CitadestacadaCar">
    <w:name w:val="Cita destacada Car"/>
    <w:rPr>
      <w:b/>
      <w:i/>
      <w:w w:val="100"/>
      <w:position w:val="-1"/>
      <w:sz w:val="24"/>
      <w:effect w:val="none"/>
      <w:vertAlign w:val="baseline"/>
      <w:cs w:val="0"/>
      <w:em w:val="none"/>
    </w:rPr>
  </w:style>
  <w:style w:type="character" w:styleId="nfasissutil">
    <w:name w:val="Subtle Emphasis"/>
    <w:rPr>
      <w:i/>
      <w:color w:val="5A5A5A"/>
      <w:w w:val="100"/>
      <w:position w:val="-1"/>
      <w:effect w:val="none"/>
      <w:vertAlign w:val="baseline"/>
      <w:cs w:val="0"/>
      <w:em w:val="none"/>
    </w:rPr>
  </w:style>
  <w:style w:type="character" w:styleId="nfasisintenso">
    <w:name w:val="Intense Emphasis"/>
    <w:rPr>
      <w:b/>
      <w:i/>
      <w:w w:val="100"/>
      <w:position w:val="-1"/>
      <w:sz w:val="24"/>
      <w:szCs w:val="24"/>
      <w:u w:val="single"/>
      <w:effect w:val="none"/>
      <w:vertAlign w:val="baseline"/>
      <w:cs w:val="0"/>
      <w:em w:val="none"/>
    </w:rPr>
  </w:style>
  <w:style w:type="character" w:styleId="Referenciasutil">
    <w:name w:val="Subtle Reference"/>
    <w:rPr>
      <w:w w:val="100"/>
      <w:position w:val="-1"/>
      <w:sz w:val="24"/>
      <w:szCs w:val="24"/>
      <w:u w:val="single"/>
      <w:effect w:val="none"/>
      <w:vertAlign w:val="baseline"/>
      <w:cs w:val="0"/>
      <w:em w:val="none"/>
    </w:rPr>
  </w:style>
  <w:style w:type="character" w:styleId="Referenciaintensa">
    <w:name w:val="Intense Reference"/>
    <w:rPr>
      <w:b/>
      <w:w w:val="100"/>
      <w:position w:val="-1"/>
      <w:sz w:val="24"/>
      <w:u w:val="single"/>
      <w:effect w:val="none"/>
      <w:vertAlign w:val="baseline"/>
      <w:cs w:val="0"/>
      <w:em w:val="none"/>
    </w:rPr>
  </w:style>
  <w:style w:type="character" w:styleId="Ttulodellibro">
    <w:name w:val="Book Title"/>
    <w:rPr>
      <w:rFonts w:ascii="Cambria" w:eastAsia="Times New Roman" w:hAnsi="Cambria" w:cs="Cambria"/>
      <w:b/>
      <w:i/>
      <w:w w:val="100"/>
      <w:position w:val="-1"/>
      <w:sz w:val="24"/>
      <w:szCs w:val="24"/>
      <w:effect w:val="none"/>
      <w:vertAlign w:val="baseline"/>
      <w:cs w:val="0"/>
      <w:em w:val="none"/>
    </w:rPr>
  </w:style>
  <w:style w:type="character" w:customStyle="1" w:styleId="Refdenotaalpie2">
    <w:name w:val="Ref. de nota al pie2"/>
    <w:rPr>
      <w:w w:val="100"/>
      <w:position w:val="-1"/>
      <w:effect w:val="none"/>
      <w:vertAlign w:val="superscript"/>
      <w:cs w:val="0"/>
      <w:em w:val="none"/>
    </w:rPr>
  </w:style>
  <w:style w:type="character" w:customStyle="1" w:styleId="Refdenotaalfinal1">
    <w:name w:val="Ref. de nota al final1"/>
    <w:rPr>
      <w:w w:val="100"/>
      <w:position w:val="-1"/>
      <w:effect w:val="none"/>
      <w:vertAlign w:val="superscript"/>
      <w:cs w:val="0"/>
      <w:em w:val="none"/>
    </w:rPr>
  </w:style>
  <w:style w:type="paragraph" w:customStyle="1" w:styleId="Heading">
    <w:name w:val="Heading"/>
    <w:basedOn w:val="Normal"/>
    <w:next w:val="Textoindependiente"/>
    <w:pPr>
      <w:keepNext/>
      <w:spacing w:before="240" w:after="120"/>
    </w:pPr>
    <w:rPr>
      <w:rFonts w:ascii="Arial" w:eastAsia="Microsoft YaHei" w:hAnsi="Arial" w:cs="Arial"/>
      <w:sz w:val="28"/>
      <w:szCs w:val="28"/>
    </w:rPr>
  </w:style>
  <w:style w:type="paragraph" w:styleId="Textoindependiente">
    <w:name w:val="Body Text"/>
    <w:basedOn w:val="Normal"/>
    <w:pPr>
      <w:spacing w:after="120"/>
    </w:pPr>
  </w:style>
  <w:style w:type="paragraph" w:styleId="Lista">
    <w:name w:val="List"/>
    <w:basedOn w:val="Textoindependiente"/>
    <w:rPr>
      <w:rFonts w:cs="FreeSans"/>
    </w:rPr>
  </w:style>
  <w:style w:type="paragraph" w:styleId="Descripcin">
    <w:name w:val="caption"/>
    <w:basedOn w:val="Normal"/>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Ttulo30">
    <w:name w:val="Título3"/>
    <w:basedOn w:val="Normal"/>
    <w:next w:val="Textoindependiente"/>
    <w:pPr>
      <w:keepNext/>
      <w:spacing w:before="240" w:after="120"/>
    </w:pPr>
    <w:rPr>
      <w:rFonts w:ascii="Liberation Sans" w:eastAsia="Microsoft YaHei" w:hAnsi="Liberation Sans" w:cs="Arial"/>
      <w:sz w:val="28"/>
      <w:szCs w:val="28"/>
    </w:rPr>
  </w:style>
  <w:style w:type="paragraph" w:customStyle="1" w:styleId="Leyenda">
    <w:name w:val="Leyenda"/>
    <w:basedOn w:val="Normal"/>
    <w:pPr>
      <w:suppressLineNumbers/>
      <w:spacing w:before="120" w:after="120"/>
    </w:pPr>
    <w:rPr>
      <w:rFonts w:cs="Arial"/>
      <w:i/>
      <w:iCs/>
    </w:rPr>
  </w:style>
  <w:style w:type="paragraph" w:customStyle="1" w:styleId="ndice">
    <w:name w:val="Índice"/>
    <w:basedOn w:val="Normal"/>
    <w:pPr>
      <w:suppressLineNumbers/>
    </w:pPr>
    <w:rPr>
      <w:rFonts w:cs="FreeSans"/>
    </w:rPr>
  </w:style>
  <w:style w:type="paragraph" w:customStyle="1" w:styleId="Ttulo20">
    <w:name w:val="Título2"/>
    <w:basedOn w:val="Normal"/>
    <w:next w:val="Normal"/>
    <w:pPr>
      <w:spacing w:before="240" w:after="60"/>
      <w:jc w:val="center"/>
    </w:pPr>
    <w:rPr>
      <w:rFonts w:ascii="Cambria" w:eastAsia="Times New Roman" w:hAnsi="Cambria" w:cs="Cambria"/>
      <w:b/>
      <w:bCs/>
      <w:kern w:val="1"/>
      <w:sz w:val="32"/>
      <w:szCs w:val="32"/>
    </w:rPr>
  </w:style>
  <w:style w:type="paragraph" w:customStyle="1" w:styleId="Epgrafe">
    <w:name w:val="Epígrafe"/>
    <w:basedOn w:val="Normal"/>
    <w:pPr>
      <w:suppressLineNumbers/>
      <w:spacing w:before="120" w:after="120"/>
    </w:pPr>
    <w:rPr>
      <w:rFonts w:cs="FreeSans"/>
      <w:i/>
      <w:iCs/>
    </w:rPr>
  </w:style>
  <w:style w:type="paragraph" w:customStyle="1" w:styleId="Ttulo10">
    <w:name w:val="Título1"/>
    <w:basedOn w:val="Normal"/>
    <w:next w:val="Textoindependiente"/>
    <w:pPr>
      <w:keepNext/>
      <w:spacing w:before="240" w:after="120"/>
    </w:pPr>
    <w:rPr>
      <w:rFonts w:ascii="Liberation Sans" w:eastAsia="DejaVu Sans" w:hAnsi="Liberation Sans" w:cs="FreeSans"/>
      <w:sz w:val="28"/>
      <w:szCs w:val="28"/>
    </w:rPr>
  </w:style>
  <w:style w:type="paragraph" w:customStyle="1" w:styleId="Descripcin1">
    <w:name w:val="Descripción1"/>
    <w:basedOn w:val="Normal"/>
    <w:pPr>
      <w:suppressLineNumbers/>
      <w:spacing w:before="120" w:after="120"/>
    </w:pPr>
    <w:rPr>
      <w:rFonts w:cs="FreeSans"/>
      <w:i/>
      <w:iCs/>
    </w:rPr>
  </w:style>
  <w:style w:type="paragraph" w:customStyle="1" w:styleId="Encabezado1">
    <w:name w:val="Encabezado1"/>
    <w:basedOn w:val="Normal"/>
    <w:next w:val="Textoindependiente"/>
    <w:pPr>
      <w:keepNext/>
      <w:spacing w:before="240" w:after="120"/>
    </w:pPr>
    <w:rPr>
      <w:rFonts w:ascii="Liberation Sans" w:eastAsia="Droid Sans" w:hAnsi="Liberation Sans" w:cs="FreeSans"/>
      <w:sz w:val="28"/>
      <w:szCs w:val="28"/>
    </w:rPr>
  </w:style>
  <w:style w:type="paragraph" w:customStyle="1" w:styleId="Etiqueta">
    <w:name w:val="Etiqueta"/>
    <w:basedOn w:val="Normal"/>
    <w:pPr>
      <w:suppressLineNumbers/>
      <w:spacing w:before="120" w:after="120"/>
    </w:pPr>
    <w:rPr>
      <w:rFonts w:cs="FreeSans"/>
      <w:i/>
      <w:iCs/>
    </w:rPr>
  </w:style>
  <w:style w:type="paragraph" w:styleId="NormalWeb">
    <w:name w:val="Normal (Web)"/>
    <w:basedOn w:val="Normal"/>
    <w:pPr>
      <w:spacing w:before="280" w:after="280"/>
    </w:pPr>
  </w:style>
  <w:style w:type="paragraph" w:styleId="Textonotapie">
    <w:name w:val="footnote text"/>
    <w:basedOn w:val="Normal"/>
    <w:rPr>
      <w:sz w:val="20"/>
      <w:szCs w:val="20"/>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513"/>
        <w:tab w:val="right" w:pos="9026"/>
      </w:tabs>
    </w:pPr>
  </w:style>
  <w:style w:type="paragraph" w:styleId="Piedepgina">
    <w:name w:val="footer"/>
    <w:basedOn w:val="Normal"/>
    <w:pPr>
      <w:tabs>
        <w:tab w:val="center" w:pos="4513"/>
        <w:tab w:val="right" w:pos="9026"/>
      </w:tabs>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basedOn w:val="Normal"/>
    <w:rPr>
      <w:szCs w:val="32"/>
    </w:rPr>
  </w:style>
  <w:style w:type="paragraph" w:styleId="Prrafodelista">
    <w:name w:val="List Paragraph"/>
    <w:basedOn w:val="Normal"/>
    <w:pPr>
      <w:ind w:left="720" w:firstLine="0"/>
    </w:pPr>
  </w:style>
  <w:style w:type="paragraph" w:styleId="Cita">
    <w:name w:val="Quote"/>
    <w:basedOn w:val="Normal"/>
    <w:next w:val="Normal"/>
    <w:rPr>
      <w:i/>
    </w:rPr>
  </w:style>
  <w:style w:type="paragraph" w:styleId="Citadestacada">
    <w:name w:val="Intense Quote"/>
    <w:basedOn w:val="Normal"/>
    <w:next w:val="Normal"/>
    <w:pPr>
      <w:ind w:left="720" w:right="720" w:firstLine="0"/>
    </w:pPr>
    <w:rPr>
      <w:b/>
      <w:i/>
      <w:szCs w:val="22"/>
    </w:rPr>
  </w:style>
  <w:style w:type="paragraph" w:styleId="TtuloTDC">
    <w:name w:val="TOC Heading"/>
    <w:basedOn w:val="Ttulo1"/>
    <w:next w:val="Normal"/>
    <w:pPr>
      <w:numPr>
        <w:numId w:val="0"/>
      </w:numPr>
      <w:ind w:leftChars="-1" w:hangingChars="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elu.edu.ar/es/node/20" TargetMode="External"/><Relationship Id="rId3" Type="http://schemas.openxmlformats.org/officeDocument/2006/relationships/styles" Target="styles.xml"/><Relationship Id="rId7" Type="http://schemas.openxmlformats.org/officeDocument/2006/relationships/hyperlink" Target="http://cvc.cervantes.es/obref/marc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arcoele.com/monograficos/evaluacion/" TargetMode="External"/><Relationship Id="rId4" Type="http://schemas.openxmlformats.org/officeDocument/2006/relationships/settings" Target="settings.xml"/><Relationship Id="rId9" Type="http://schemas.openxmlformats.org/officeDocument/2006/relationships/hyperlink" Target="http://marcoele.com/monograficos/evalua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dTamr/woZFl6sbsFha6ILL2qTA==">AMUW2mWu5NKIhx66JilLwZUcuRLaAla18bcm4iCE7G2K1bQohaZjRk6SS93FSkyVGwdQUV5FgG1DJaZMxb7ck1j+bgvAJsrqWi8rnWGI3X/I0XcVp8l8W3M=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2161</Words>
  <Characters>12321</Characters>
  <Application>Microsoft Office Word</Application>
  <DocSecurity>0</DocSecurity>
  <Lines>102</Lines>
  <Paragraphs>28</Paragraphs>
  <ScaleCrop>false</ScaleCrop>
  <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Matias</cp:lastModifiedBy>
  <cp:revision>2</cp:revision>
  <dcterms:created xsi:type="dcterms:W3CDTF">2018-06-08T17:18:00Z</dcterms:created>
  <dcterms:modified xsi:type="dcterms:W3CDTF">2022-11-26T14:39:00Z</dcterms:modified>
</cp:coreProperties>
</file>