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-228599</wp:posOffset>
            </wp:positionH>
            <wp:positionV relativeFrom="paragraph">
              <wp:posOffset>-228599</wp:posOffset>
            </wp:positionV>
            <wp:extent cx="2461895" cy="160210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3" l="-7" r="-6" t="-13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1602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60" w:before="240" w:lineRule="auto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32"/>
          <w:szCs w:val="32"/>
          <w:vertAlign w:val="baseline"/>
          <w:rtl w:val="0"/>
        </w:rPr>
        <w:t xml:space="preserve">ESPECIALIZACIÓN EN MUSEOS, TRANSMISIÓN CULTURAL Y MANEJO DE COLECC</w:t>
      </w:r>
      <w:r w:rsidDel="00000000" w:rsidR="00000000" w:rsidRPr="00000000">
        <w:rPr>
          <w:rFonts w:ascii="Cambria" w:cs="Cambria" w:eastAsia="Cambria" w:hAnsi="Cambria"/>
          <w:b w:val="1"/>
          <w:smallCaps w:val="1"/>
          <w:sz w:val="32"/>
          <w:szCs w:val="32"/>
          <w:rtl w:val="0"/>
        </w:rPr>
        <w:t xml:space="preserve">IONES</w:t>
      </w:r>
      <w:r w:rsidDel="00000000" w:rsidR="00000000" w:rsidRPr="00000000">
        <w:rPr>
          <w:rFonts w:ascii="Cambria" w:cs="Cambria" w:eastAsia="Cambria" w:hAnsi="Cambria"/>
          <w:b w:val="1"/>
          <w:smallCaps w:val="1"/>
          <w:sz w:val="32"/>
          <w:szCs w:val="32"/>
          <w:vertAlign w:val="baseline"/>
          <w:rtl w:val="0"/>
        </w:rPr>
        <w:t xml:space="preserve"> ANTROPOLÓGICAS E HISTÓRICAS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numPr>
          <w:ilvl w:val="0"/>
          <w:numId w:val="1"/>
        </w:numPr>
        <w:spacing w:after="60" w:before="240" w:lineRule="auto"/>
        <w:ind w:left="0" w:firstLine="0"/>
        <w:jc w:val="center"/>
        <w:rPr>
          <w:rFonts w:ascii="Cambria" w:cs="Cambria" w:eastAsia="Cambria" w:hAnsi="Cambria"/>
          <w:sz w:val="32"/>
          <w:szCs w:val="32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vertAlign w:val="baseline"/>
          <w:rtl w:val="0"/>
        </w:rPr>
        <w:t xml:space="preserve">TALLER DE PLANIFICACIÓN Y DISEÑO MUSEOGRÁFICO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Docente/s a cargo: María Gabriela Mayoni y Vanessa Zuin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Docente invitado: Fernando Veneroso</w:t>
      </w:r>
    </w:p>
    <w:p w:rsidR="00000000" w:rsidDel="00000000" w:rsidP="00000000" w:rsidRDefault="00000000" w:rsidRPr="00000000" w14:paraId="0000000B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Carga horaria: </w:t>
      </w:r>
      <w:r w:rsidDel="00000000" w:rsidR="00000000" w:rsidRPr="00000000">
        <w:rPr>
          <w:vertAlign w:val="baseline"/>
          <w:rtl w:val="0"/>
        </w:rPr>
        <w:t xml:space="preserve">16hs - 4 semanas</w:t>
      </w:r>
    </w:p>
    <w:p w:rsidR="00000000" w:rsidDel="00000000" w:rsidP="00000000" w:rsidRDefault="00000000" w:rsidRPr="00000000" w14:paraId="0000000C">
      <w:pPr>
        <w:spacing w:line="276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Cuatrimestre, año: Primer cuatrimestre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b w:val="1"/>
          <w:i w:val="1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Fundamentación: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200" w:line="276" w:lineRule="auto"/>
        <w:rPr/>
      </w:pPr>
      <w:r w:rsidDel="00000000" w:rsidR="00000000" w:rsidRPr="00000000">
        <w:rPr>
          <w:rtl w:val="0"/>
        </w:rPr>
        <w:t xml:space="preserve">La exposición es el dispositivo por excelencia que utilizan los museos</w:t>
      </w:r>
      <w:r w:rsidDel="00000000" w:rsidR="00000000" w:rsidRPr="00000000">
        <w:rPr>
          <w:rtl w:val="0"/>
        </w:rPr>
        <w:t xml:space="preserve"> y demás instituciones culturales con acervo patrimonial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donde se materializa de manera más evidente su función de transmisión cultural.</w:t>
      </w:r>
      <w:r w:rsidDel="00000000" w:rsidR="00000000" w:rsidRPr="00000000">
        <w:rPr>
          <w:rtl w:val="0"/>
        </w:rPr>
        <w:t xml:space="preserve"> En el campo de la museología, este término designa cuestiones diversas. Es el lugar donde se expone, abierto, cerrado o in situ (es el caso de los sitios arqueológicos o casas históricas), que no solo se define por su </w:t>
      </w:r>
      <w:r w:rsidDel="00000000" w:rsidR="00000000" w:rsidRPr="00000000">
        <w:rPr>
          <w:b w:val="1"/>
          <w:rtl w:val="0"/>
        </w:rPr>
        <w:t xml:space="preserve">continente</w:t>
      </w:r>
      <w:r w:rsidDel="00000000" w:rsidR="00000000" w:rsidRPr="00000000">
        <w:rPr>
          <w:rtl w:val="0"/>
        </w:rPr>
        <w:t xml:space="preserve"> y por su </w:t>
      </w:r>
      <w:r w:rsidDel="00000000" w:rsidR="00000000" w:rsidRPr="00000000">
        <w:rPr>
          <w:b w:val="1"/>
          <w:rtl w:val="0"/>
        </w:rPr>
        <w:t xml:space="preserve">contenido</w:t>
      </w:r>
      <w:r w:rsidDel="00000000" w:rsidR="00000000" w:rsidRPr="00000000">
        <w:rPr>
          <w:rtl w:val="0"/>
        </w:rPr>
        <w:t xml:space="preserve"> sino también </w:t>
      </w:r>
      <w:r w:rsidDel="00000000" w:rsidR="00000000" w:rsidRPr="00000000">
        <w:rPr>
          <w:rtl w:val="0"/>
        </w:rPr>
        <w:t xml:space="preserve">por sus </w:t>
      </w:r>
      <w:r w:rsidDel="00000000" w:rsidR="00000000" w:rsidRPr="00000000">
        <w:rPr>
          <w:b w:val="1"/>
          <w:rtl w:val="0"/>
        </w:rPr>
        <w:t xml:space="preserve">usuarios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tl w:val="0"/>
        </w:rPr>
        <w:t xml:space="preserve">es decir las personas que entran en ese espacio y participan de la experiencia global, se trata entonces de un espacio de interacción social. </w:t>
      </w:r>
    </w:p>
    <w:p w:rsidR="00000000" w:rsidDel="00000000" w:rsidP="00000000" w:rsidRDefault="00000000" w:rsidRPr="00000000" w14:paraId="00000010">
      <w:pPr>
        <w:spacing w:before="200" w:line="276" w:lineRule="auto"/>
        <w:rPr/>
      </w:pPr>
      <w:r w:rsidDel="00000000" w:rsidR="00000000" w:rsidRPr="00000000">
        <w:rPr>
          <w:rtl w:val="0"/>
        </w:rPr>
        <w:t xml:space="preserve">La exposición es el lugar de la “puesta en escena” para la visualización de elementos concretos que evocan conceptos e ideas y que contribuye a la ruptura de la cotidianeidad, que caracteriza a la “experiencia del visitante”. Su diseño requiere de etapas de planificación, diseño, construcción, montaje y evaluación. Idealmente se parte de un guión museológico donde se define lo que se quiere transmitir. El diseño museográfico es la traducción de ese guión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(historia/narración,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conceptos e ideas) a un lenguaje comunicacional centrado en la experiencia del visitante para su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puesta en escena en el espacio.</w:t>
      </w:r>
      <w:r w:rsidDel="00000000" w:rsidR="00000000" w:rsidRPr="00000000">
        <w:rPr>
          <w:rtl w:val="0"/>
        </w:rPr>
        <w:t xml:space="preserve"> También, el desarrollo de las tecnologías informáticas permite considerar como exposiciones aquellas que se pueden visitar a través de soportes digitales y en entornos virtuales.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La exposición entendida como conjunto de objetos expuestos, comprende tanto el acervo del museo, como los sustitutos y todos los medios que se diseñen exprofeso (imágenes, textos, cédulas; dispositivos interactivos, etc.) para una mejor comprensión de lo que se pretende transmitir. Esto transforma a la exposición en un espacio de negociación cultural y transmisión de sentido. Desde la perspectiva del campo de la museología, se diferencia del espectáculo -entendido como reclutador de clientes y con características comerciales- aunque apele a muchas de sus estrategias.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Existen diferentes maneras de imaginar, diseñar y construir una exposición; esto dependerá de la concepción de museo que se tenga, del papel social que se le asigne, de la idea de públicos de la que se parte y del tipo de experiencias que se pretendan promover. En todos los casos, l</w:t>
      </w:r>
      <w:r w:rsidDel="00000000" w:rsidR="00000000" w:rsidRPr="00000000">
        <w:rPr>
          <w:rtl w:val="0"/>
        </w:rPr>
        <w:t xml:space="preserve">a experiencia de la exposición se constituye como un catalizador, un mediador entre lo expuesto y el público.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b w:val="1"/>
          <w:i w:val="1"/>
          <w:smallCaps w:val="0"/>
          <w:strike w:val="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b w:val="1"/>
          <w:i w:val="1"/>
          <w:smallCaps w:val="0"/>
          <w:strike w:val="0"/>
          <w:sz w:val="28"/>
          <w:szCs w:val="28"/>
          <w:u w:val="none"/>
          <w:shd w:fill="auto" w:val="clear"/>
          <w:vertAlign w:val="baseline"/>
          <w:rtl w:val="0"/>
        </w:rPr>
        <w:t xml:space="preserve">bjetivos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El presente taller tiene por objetivo la enseñanza de metodologías y estrategias proyectuales para el desarrollo de exposici</w:t>
      </w:r>
      <w:r w:rsidDel="00000000" w:rsidR="00000000" w:rsidRPr="00000000">
        <w:rPr>
          <w:rtl w:val="0"/>
        </w:rPr>
        <w:t xml:space="preserve">ones de colecciones -antropológicas e históricas- museables</w:t>
      </w:r>
      <w:r w:rsidDel="00000000" w:rsidR="00000000" w:rsidRPr="00000000">
        <w:rPr>
          <w:rtl w:val="0"/>
        </w:rPr>
        <w:t xml:space="preserve">, brindando herramientas útiles para la planificac</w:t>
      </w:r>
      <w:r w:rsidDel="00000000" w:rsidR="00000000" w:rsidRPr="00000000">
        <w:rPr>
          <w:rtl w:val="0"/>
        </w:rPr>
        <w:t xml:space="preserve">ión y el diseño espacial.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1"/>
        <w:numPr>
          <w:ilvl w:val="1"/>
          <w:numId w:val="1"/>
        </w:numPr>
        <w:spacing w:after="60" w:before="240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Contenidos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Unidad 1: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26"/>
          <w:szCs w:val="2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Del guión museológico al guión museográfico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Contenidos: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sz w:val="22"/>
          <w:szCs w:val="22"/>
          <w:rtl w:val="0"/>
        </w:rPr>
        <w:t xml:space="preserve">Traspaso de la estructura conceptual a la prefiguración museográfica. Planificación de exposiciones: sistema de burbujas conceptuales, definición de accesos y recorridos. Ambientación, recreaciones, interacción. Inteligencias múltiples. Accesibilidad.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Bibliografía obligatoria: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Alonso Fernández, Luis; García Fernández, Isabel </w:t>
      </w:r>
      <w:r w:rsidDel="00000000" w:rsidR="00000000" w:rsidRPr="00000000">
        <w:rPr>
          <w:sz w:val="22"/>
          <w:szCs w:val="22"/>
          <w:rtl w:val="0"/>
        </w:rPr>
        <w:t xml:space="preserve">(1999). </w:t>
      </w:r>
      <w:r w:rsidDel="00000000" w:rsidR="00000000" w:rsidRPr="00000000">
        <w:rPr>
          <w:i w:val="1"/>
          <w:sz w:val="22"/>
          <w:szCs w:val="22"/>
          <w:rtl w:val="0"/>
        </w:rPr>
        <w:t xml:space="preserve">Diseño de exposiciones: concepto, instalación y montaje.</w:t>
      </w:r>
      <w:r w:rsidDel="00000000" w:rsidR="00000000" w:rsidRPr="00000000">
        <w:rPr>
          <w:sz w:val="22"/>
          <w:szCs w:val="22"/>
          <w:rtl w:val="0"/>
        </w:rPr>
        <w:t xml:space="preserve"> Madrid: Alianza editorial.</w:t>
      </w:r>
    </w:p>
    <w:p w:rsidR="00000000" w:rsidDel="00000000" w:rsidP="00000000" w:rsidRDefault="00000000" w:rsidRPr="00000000" w14:paraId="0000001D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Gaceta de Museos, n.54</w:t>
      </w:r>
      <w:r w:rsidDel="00000000" w:rsidR="00000000" w:rsidRPr="00000000">
        <w:rPr>
          <w:sz w:val="22"/>
          <w:szCs w:val="22"/>
          <w:rtl w:val="0"/>
        </w:rPr>
        <w:t xml:space="preserve"> (2013). Revista del INAH. México </w:t>
      </w:r>
    </w:p>
    <w:p w:rsidR="00000000" w:rsidDel="00000000" w:rsidP="00000000" w:rsidRDefault="00000000" w:rsidRPr="00000000" w14:paraId="0000001E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Lord, Barry</w:t>
      </w:r>
      <w:r w:rsidDel="00000000" w:rsidR="00000000" w:rsidRPr="00000000">
        <w:rPr>
          <w:sz w:val="22"/>
          <w:szCs w:val="22"/>
          <w:rtl w:val="0"/>
        </w:rPr>
        <w:t xml:space="preserve"> (2002). </w:t>
      </w:r>
      <w:r w:rsidDel="00000000" w:rsidR="00000000" w:rsidRPr="00000000">
        <w:rPr>
          <w:i w:val="1"/>
          <w:sz w:val="22"/>
          <w:szCs w:val="22"/>
          <w:rtl w:val="0"/>
        </w:rPr>
        <w:t xml:space="preserve">The purpose of Museum Exhibitions</w:t>
      </w:r>
      <w:r w:rsidDel="00000000" w:rsidR="00000000" w:rsidRPr="00000000">
        <w:rPr>
          <w:sz w:val="22"/>
          <w:szCs w:val="22"/>
          <w:rtl w:val="0"/>
        </w:rPr>
        <w:t xml:space="preserve">, en The Manual of Museums exhibitions, cap1. Walnut Creek: Altamira Press.</w:t>
      </w:r>
    </w:p>
    <w:p w:rsidR="00000000" w:rsidDel="00000000" w:rsidP="00000000" w:rsidRDefault="00000000" w:rsidRPr="00000000" w14:paraId="0000001F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Raphael, Toby</w:t>
      </w:r>
      <w:r w:rsidDel="00000000" w:rsidR="00000000" w:rsidRPr="00000000">
        <w:rPr>
          <w:sz w:val="22"/>
          <w:szCs w:val="22"/>
          <w:rtl w:val="0"/>
        </w:rPr>
        <w:t xml:space="preserve"> (1999). </w:t>
      </w:r>
      <w:r w:rsidDel="00000000" w:rsidR="00000000" w:rsidRPr="00000000">
        <w:rPr>
          <w:i w:val="1"/>
          <w:sz w:val="22"/>
          <w:szCs w:val="22"/>
          <w:rtl w:val="0"/>
        </w:rPr>
        <w:t xml:space="preserve">Pautas de Conservación para exhibiciones. Incorporando la Conservación  en la planificación, diseño y producción de la Exhibición</w:t>
      </w:r>
      <w:r w:rsidDel="00000000" w:rsidR="00000000" w:rsidRPr="00000000">
        <w:rPr>
          <w:sz w:val="22"/>
          <w:szCs w:val="22"/>
          <w:rtl w:val="0"/>
        </w:rPr>
        <w:t xml:space="preserve">. Washington D.C.: National Park Service. Traducción.</w:t>
      </w:r>
    </w:p>
    <w:p w:rsidR="00000000" w:rsidDel="00000000" w:rsidP="00000000" w:rsidRDefault="00000000" w:rsidRPr="00000000" w14:paraId="00000020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Bibliografía complementaria: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0" w:line="276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Los señores del jaguar. Taller de capacitación en conservación y exhibición de colecciones arqueológicas y etnográficas</w:t>
      </w:r>
      <w:r w:rsidDel="00000000" w:rsidR="00000000" w:rsidRPr="00000000">
        <w:rPr>
          <w:sz w:val="22"/>
          <w:szCs w:val="22"/>
          <w:rtl w:val="0"/>
        </w:rPr>
        <w:t xml:space="preserve">. Editores: Universidad de Buenos Aires, Fundación Antorchas, Center for Museum Studies Smithsonian Institution, Museo Etnográfico, Facultad de Filosofía y Letras, Buenos Aires, 1997.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0" w:line="276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276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Unidad </w:t>
      </w: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2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6"/>
          <w:szCs w:val="26"/>
          <w:rtl w:val="0"/>
        </w:rPr>
        <w:t xml:space="preserve">Diseño de exposiciones</w:t>
      </w:r>
    </w:p>
    <w:p w:rsidR="00000000" w:rsidDel="00000000" w:rsidP="00000000" w:rsidRDefault="00000000" w:rsidRPr="00000000" w14:paraId="00000025">
      <w:pPr>
        <w:spacing w:before="200"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Contenidos: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Matriz museográfica: colecciones, objetos, dispositivos, imágenes, textos, colores, recursos multimedia. Apoyaturas museográficas (paneles, vitrinas, soportes). Relación entre el soporte y el relato expositivo. Articulación entre imagen-texto-objeto. Diseño de recursos interactivos/didácticos. Dispositivos. Estudios de caso.</w:t>
      </w:r>
    </w:p>
    <w:p w:rsidR="00000000" w:rsidDel="00000000" w:rsidP="00000000" w:rsidRDefault="00000000" w:rsidRPr="00000000" w14:paraId="00000027">
      <w:pPr>
        <w:spacing w:before="200" w:line="276" w:lineRule="auto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Bibliografía obligatoria: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Dever Restrepo, Paula; Carrizosa, Amparo</w:t>
      </w:r>
      <w:r w:rsidDel="00000000" w:rsidR="00000000" w:rsidRPr="00000000">
        <w:rPr>
          <w:sz w:val="22"/>
          <w:szCs w:val="22"/>
          <w:rtl w:val="0"/>
        </w:rPr>
        <w:t xml:space="preserve"> (2020). </w:t>
      </w:r>
      <w:r w:rsidDel="00000000" w:rsidR="00000000" w:rsidRPr="00000000">
        <w:rPr>
          <w:i w:val="1"/>
          <w:sz w:val="22"/>
          <w:szCs w:val="22"/>
          <w:rtl w:val="0"/>
        </w:rPr>
        <w:t xml:space="preserve">Manual básico de montaje museográfico</w:t>
      </w:r>
      <w:r w:rsidDel="00000000" w:rsidR="00000000" w:rsidRPr="00000000">
        <w:rPr>
          <w:sz w:val="22"/>
          <w:szCs w:val="22"/>
          <w:rtl w:val="0"/>
        </w:rPr>
        <w:t xml:space="preserve">. Bogotá: Ministerio de Cultura, Museo Nacional de Colombia, Red Nacional de Museos.</w:t>
      </w:r>
    </w:p>
    <w:p w:rsidR="00000000" w:rsidDel="00000000" w:rsidP="00000000" w:rsidRDefault="00000000" w:rsidRPr="00000000" w14:paraId="00000029">
      <w:pPr>
        <w:spacing w:before="0" w:line="276" w:lineRule="auto"/>
        <w:rPr>
          <w:sz w:val="22"/>
          <w:szCs w:val="22"/>
        </w:rPr>
      </w:pP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http://www.ibermuseos.org/recursos/documentos/manual-basico-de-montaje-museografico/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pacing w:before="200" w:line="276" w:lineRule="auto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Glasgow Museums.</w:t>
      </w:r>
      <w:r w:rsidDel="00000000" w:rsidR="00000000" w:rsidRPr="00000000">
        <w:rPr>
          <w:i w:val="1"/>
          <w:sz w:val="22"/>
          <w:szCs w:val="22"/>
          <w:rtl w:val="0"/>
        </w:rPr>
        <w:t xml:space="preserve"> A Practical Guide for Exhibitions</w:t>
      </w:r>
      <w:r w:rsidDel="00000000" w:rsidR="00000000" w:rsidRPr="00000000">
        <w:rPr>
          <w:sz w:val="22"/>
          <w:szCs w:val="22"/>
          <w:rtl w:val="0"/>
        </w:rPr>
        <w:t xml:space="preserve">. British Council. </w:t>
      </w:r>
      <w:hyperlink r:id="rId9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https://www.britishcouncil.in/sites/default/files/guidelines_for_museum_display.pdf</w:t>
        </w:r>
      </w:hyperlink>
      <w:r w:rsidDel="00000000" w:rsidR="00000000" w:rsidRPr="00000000">
        <w:rPr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Serrell, Beverly</w:t>
      </w:r>
      <w:r w:rsidDel="00000000" w:rsidR="00000000" w:rsidRPr="00000000">
        <w:rPr>
          <w:sz w:val="22"/>
          <w:szCs w:val="22"/>
          <w:rtl w:val="0"/>
        </w:rPr>
        <w:t xml:space="preserve"> (1996). Learning Styles, en </w:t>
      </w:r>
      <w:r w:rsidDel="00000000" w:rsidR="00000000" w:rsidRPr="00000000">
        <w:rPr>
          <w:i w:val="1"/>
          <w:sz w:val="22"/>
          <w:szCs w:val="22"/>
          <w:rtl w:val="0"/>
        </w:rPr>
        <w:t xml:space="preserve">Exhibit Labels, an Interpretative Approach</w:t>
      </w:r>
      <w:r w:rsidDel="00000000" w:rsidR="00000000" w:rsidRPr="00000000">
        <w:rPr>
          <w:sz w:val="22"/>
          <w:szCs w:val="22"/>
          <w:rtl w:val="0"/>
        </w:rPr>
        <w:t xml:space="preserve">, cap. 5. Walnut Creek: Altamira Press.</w:t>
      </w:r>
    </w:p>
    <w:p w:rsidR="00000000" w:rsidDel="00000000" w:rsidP="00000000" w:rsidRDefault="00000000" w:rsidRPr="00000000" w14:paraId="0000002C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Tétrault, Jean.</w:t>
      </w:r>
      <w:r w:rsidDel="00000000" w:rsidR="00000000" w:rsidRPr="00000000">
        <w:rPr>
          <w:sz w:val="22"/>
          <w:szCs w:val="22"/>
          <w:rtl w:val="0"/>
        </w:rPr>
        <w:t xml:space="preserve"> (1994). </w:t>
      </w:r>
      <w:r w:rsidDel="00000000" w:rsidR="00000000" w:rsidRPr="00000000">
        <w:rPr>
          <w:i w:val="1"/>
          <w:sz w:val="22"/>
          <w:szCs w:val="22"/>
          <w:rtl w:val="0"/>
        </w:rPr>
        <w:t xml:space="preserve">Materiales para exposición: el bueno, el malo y el feo.</w:t>
      </w:r>
      <w:r w:rsidDel="00000000" w:rsidR="00000000" w:rsidRPr="00000000">
        <w:rPr>
          <w:sz w:val="22"/>
          <w:szCs w:val="22"/>
          <w:rtl w:val="0"/>
        </w:rPr>
        <w:t xml:space="preserve"> Preprints. </w:t>
      </w:r>
      <w:r w:rsidDel="00000000" w:rsidR="00000000" w:rsidRPr="00000000">
        <w:rPr>
          <w:sz w:val="22"/>
          <w:szCs w:val="22"/>
          <w:rtl w:val="0"/>
        </w:rPr>
        <w:t xml:space="preserve">Edinburgo, pp.79-87. Scottish Society for Conservation and Restoration (SSCR).</w:t>
      </w:r>
    </w:p>
    <w:p w:rsidR="00000000" w:rsidDel="00000000" w:rsidP="00000000" w:rsidRDefault="00000000" w:rsidRPr="00000000" w14:paraId="0000002D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Paula C. Doe; Curtis A.; Peacock, R.; Eli, Paul </w:t>
      </w:r>
      <w:r w:rsidDel="00000000" w:rsidR="00000000" w:rsidRPr="00000000">
        <w:rPr>
          <w:sz w:val="22"/>
          <w:szCs w:val="22"/>
          <w:rtl w:val="0"/>
        </w:rPr>
        <w:t xml:space="preserve">(1993). </w:t>
      </w:r>
      <w:r w:rsidDel="00000000" w:rsidR="00000000" w:rsidRPr="00000000">
        <w:rPr>
          <w:i w:val="1"/>
          <w:sz w:val="22"/>
          <w:szCs w:val="22"/>
          <w:rtl w:val="0"/>
        </w:rPr>
        <w:t xml:space="preserve">Exhibit Mounts on a Budget</w:t>
      </w:r>
      <w:r w:rsidDel="00000000" w:rsidR="00000000" w:rsidRPr="00000000">
        <w:rPr>
          <w:sz w:val="22"/>
          <w:szCs w:val="22"/>
          <w:rtl w:val="0"/>
        </w:rPr>
        <w:t xml:space="preserve"> (Soportes de exhibición). Technical Leaflet, n.187. Nashville: AASLH. American Association for State and Local History. Traducción.</w:t>
      </w:r>
    </w:p>
    <w:p w:rsidR="00000000" w:rsidDel="00000000" w:rsidP="00000000" w:rsidRDefault="00000000" w:rsidRPr="00000000" w14:paraId="0000002E">
      <w:pPr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Raphael, Toby</w:t>
      </w:r>
      <w:r w:rsidDel="00000000" w:rsidR="00000000" w:rsidRPr="00000000">
        <w:rPr>
          <w:sz w:val="22"/>
          <w:szCs w:val="22"/>
          <w:rtl w:val="0"/>
        </w:rPr>
        <w:t xml:space="preserve"> (1994) </w:t>
      </w:r>
      <w:r w:rsidDel="00000000" w:rsidR="00000000" w:rsidRPr="00000000">
        <w:rPr>
          <w:i w:val="1"/>
          <w:sz w:val="22"/>
          <w:szCs w:val="22"/>
          <w:rtl w:val="0"/>
        </w:rPr>
        <w:t xml:space="preserve">El diseño práctico y la fabricación de vitrinas de exhibición selladas.</w:t>
      </w:r>
      <w:r w:rsidDel="00000000" w:rsidR="00000000" w:rsidRPr="00000000">
        <w:rPr>
          <w:sz w:val="22"/>
          <w:szCs w:val="22"/>
          <w:rtl w:val="0"/>
        </w:rPr>
        <w:t xml:space="preserve"> AIC. Postprints, Alburquerque Conference, Objects Speciality Group.</w:t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Bibliografía complementaria: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right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Fisman, Dina</w:t>
      </w:r>
      <w:r w:rsidDel="00000000" w:rsidR="00000000" w:rsidRPr="00000000">
        <w:rPr>
          <w:sz w:val="22"/>
          <w:szCs w:val="22"/>
          <w:rtl w:val="0"/>
        </w:rPr>
        <w:t xml:space="preserve"> (2016). </w:t>
      </w:r>
      <w:r w:rsidDel="00000000" w:rsidR="00000000" w:rsidRPr="00000000">
        <w:rPr>
          <w:i w:val="1"/>
          <w:sz w:val="22"/>
          <w:szCs w:val="22"/>
          <w:rtl w:val="0"/>
        </w:rPr>
        <w:t xml:space="preserve">Los textos interpretativos en los museos. Carteles amigables e interactivos.</w:t>
      </w:r>
      <w:r w:rsidDel="00000000" w:rsidR="00000000" w:rsidRPr="00000000">
        <w:rPr>
          <w:sz w:val="22"/>
          <w:szCs w:val="22"/>
          <w:rtl w:val="0"/>
        </w:rPr>
        <w:t xml:space="preserve"> Jornada de capacitación ATM Museo del Cabildo. Museo de las Escuelas GCBA - UNLU, Diciembre 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1"/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</w:t>
      </w:r>
      <w:r w:rsidDel="00000000" w:rsidR="00000000" w:rsidRPr="00000000">
        <w:rPr>
          <w:b w:val="1"/>
          <w:sz w:val="22"/>
          <w:szCs w:val="22"/>
          <w:rtl w:val="0"/>
        </w:rPr>
        <w:t xml:space="preserve">aphael, Toby J</w:t>
      </w:r>
      <w:r w:rsidDel="00000000" w:rsidR="00000000" w:rsidRPr="00000000">
        <w:rPr>
          <w:sz w:val="22"/>
          <w:szCs w:val="22"/>
          <w:rtl w:val="0"/>
        </w:rPr>
        <w:t xml:space="preserve">. (1997). </w:t>
      </w:r>
      <w:r w:rsidDel="00000000" w:rsidR="00000000" w:rsidRPr="00000000">
        <w:rPr>
          <w:i w:val="1"/>
          <w:sz w:val="22"/>
          <w:szCs w:val="22"/>
          <w:rtl w:val="0"/>
        </w:rPr>
        <w:t xml:space="preserve">Normas para el montaje de objetos para exposición</w:t>
      </w:r>
      <w:r w:rsidDel="00000000" w:rsidR="00000000" w:rsidRPr="00000000">
        <w:rPr>
          <w:sz w:val="22"/>
          <w:szCs w:val="22"/>
          <w:rtl w:val="0"/>
        </w:rPr>
        <w:t xml:space="preserve">. APOYO. Boletín 7:1.</w:t>
      </w:r>
    </w:p>
    <w:p w:rsidR="00000000" w:rsidDel="00000000" w:rsidP="00000000" w:rsidRDefault="00000000" w:rsidRPr="00000000" w14:paraId="00000032">
      <w:pPr>
        <w:keepNext w:val="1"/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Raphael, Toby J</w:t>
      </w:r>
      <w:r w:rsidDel="00000000" w:rsidR="00000000" w:rsidRPr="00000000">
        <w:rPr>
          <w:sz w:val="22"/>
          <w:szCs w:val="22"/>
          <w:rtl w:val="0"/>
        </w:rPr>
        <w:t xml:space="preserve">. (1997). </w:t>
      </w:r>
      <w:r w:rsidDel="00000000" w:rsidR="00000000" w:rsidRPr="00000000">
        <w:rPr>
          <w:i w:val="1"/>
          <w:sz w:val="22"/>
          <w:szCs w:val="22"/>
          <w:rtl w:val="0"/>
        </w:rPr>
        <w:t xml:space="preserve">Normas para la fabricación de vitrinas de exhibición</w:t>
      </w:r>
      <w:r w:rsidDel="00000000" w:rsidR="00000000" w:rsidRPr="00000000">
        <w:rPr>
          <w:sz w:val="22"/>
          <w:szCs w:val="22"/>
          <w:rtl w:val="0"/>
        </w:rPr>
        <w:t xml:space="preserve">. APOYO. Boletín 7:1. </w:t>
      </w:r>
    </w:p>
    <w:p w:rsidR="00000000" w:rsidDel="00000000" w:rsidP="00000000" w:rsidRDefault="00000000" w:rsidRPr="00000000" w14:paraId="00000033">
      <w:pPr>
        <w:keepNext w:val="1"/>
        <w:spacing w:before="200" w:line="276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Serrell, Beverly</w:t>
      </w:r>
      <w:r w:rsidDel="00000000" w:rsidR="00000000" w:rsidRPr="00000000">
        <w:rPr>
          <w:sz w:val="22"/>
          <w:szCs w:val="22"/>
          <w:rtl w:val="0"/>
        </w:rPr>
        <w:t xml:space="preserve"> (2015). </w:t>
      </w:r>
      <w:r w:rsidDel="00000000" w:rsidR="00000000" w:rsidRPr="00000000">
        <w:rPr>
          <w:i w:val="1"/>
          <w:sz w:val="22"/>
          <w:szCs w:val="22"/>
          <w:rtl w:val="0"/>
        </w:rPr>
        <w:t xml:space="preserve">Tipos de Textos en exhibiciones</w:t>
      </w:r>
      <w:r w:rsidDel="00000000" w:rsidR="00000000" w:rsidRPr="00000000">
        <w:rPr>
          <w:sz w:val="22"/>
          <w:szCs w:val="22"/>
          <w:rtl w:val="0"/>
        </w:rPr>
        <w:t xml:space="preserve">, en Exhibit Labels. An Interpretative Approach. 2° ed. Parte I. pp. 31-46 . Maryland: Rowman &amp; Littlefield.</w:t>
      </w:r>
    </w:p>
    <w:p w:rsidR="00000000" w:rsidDel="00000000" w:rsidP="00000000" w:rsidRDefault="00000000" w:rsidRPr="00000000" w14:paraId="00000034">
      <w:pPr>
        <w:keepNext w:val="1"/>
        <w:spacing w:before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Bibliografía general</w:t>
      </w:r>
    </w:p>
    <w:p w:rsidR="00000000" w:rsidDel="00000000" w:rsidP="00000000" w:rsidRDefault="00000000" w:rsidRPr="00000000" w14:paraId="00000036">
      <w:pPr>
        <w:keepNext w:val="1"/>
        <w:spacing w:after="60" w:befor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Lord, Barry</w:t>
      </w:r>
      <w:r w:rsidDel="00000000" w:rsidR="00000000" w:rsidRPr="00000000">
        <w:rPr>
          <w:sz w:val="22"/>
          <w:szCs w:val="22"/>
          <w:rtl w:val="0"/>
        </w:rPr>
        <w:t xml:space="preserve"> (2002). </w:t>
      </w:r>
      <w:r w:rsidDel="00000000" w:rsidR="00000000" w:rsidRPr="00000000">
        <w:rPr>
          <w:i w:val="1"/>
          <w:sz w:val="22"/>
          <w:szCs w:val="22"/>
          <w:rtl w:val="0"/>
        </w:rPr>
        <w:t xml:space="preserve">The Manual of Museums exhibitions</w:t>
      </w:r>
      <w:r w:rsidDel="00000000" w:rsidR="00000000" w:rsidRPr="00000000">
        <w:rPr>
          <w:sz w:val="22"/>
          <w:szCs w:val="22"/>
          <w:rtl w:val="0"/>
        </w:rPr>
        <w:t xml:space="preserve">. Walnut Creek: Altamira Press.</w:t>
      </w:r>
    </w:p>
    <w:p w:rsidR="00000000" w:rsidDel="00000000" w:rsidP="00000000" w:rsidRDefault="00000000" w:rsidRPr="00000000" w14:paraId="00000037">
      <w:pPr>
        <w:keepNext w:val="1"/>
        <w:spacing w:after="60" w:before="240" w:lineRule="auto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Raphael, Toby</w:t>
      </w:r>
      <w:r w:rsidDel="00000000" w:rsidR="00000000" w:rsidRPr="00000000">
        <w:rPr>
          <w:sz w:val="22"/>
          <w:szCs w:val="22"/>
          <w:rtl w:val="0"/>
        </w:rPr>
        <w:t xml:space="preserve">  (1999).  </w:t>
      </w:r>
      <w:r w:rsidDel="00000000" w:rsidR="00000000" w:rsidRPr="00000000">
        <w:rPr>
          <w:i w:val="1"/>
          <w:sz w:val="22"/>
          <w:szCs w:val="22"/>
          <w:rtl w:val="0"/>
        </w:rPr>
        <w:t xml:space="preserve">Pautas de Conservación para exhibiciones. Incorporando la Conservación  en la planificación, diseño y producción de la Exhibición</w:t>
      </w:r>
      <w:r w:rsidDel="00000000" w:rsidR="00000000" w:rsidRPr="00000000">
        <w:rPr>
          <w:sz w:val="22"/>
          <w:szCs w:val="22"/>
          <w:rtl w:val="0"/>
        </w:rPr>
        <w:t xml:space="preserve">. Washington D. C.: National Park Service.</w:t>
      </w:r>
    </w:p>
    <w:p w:rsidR="00000000" w:rsidDel="00000000" w:rsidP="00000000" w:rsidRDefault="00000000" w:rsidRPr="00000000" w14:paraId="00000038">
      <w:pPr>
        <w:keepNext w:val="1"/>
        <w:spacing w:after="60" w:before="240" w:lineRule="auto"/>
        <w:rPr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Serrell, Beverly</w:t>
      </w:r>
      <w:r w:rsidDel="00000000" w:rsidR="00000000" w:rsidRPr="00000000">
        <w:rPr>
          <w:sz w:val="22"/>
          <w:szCs w:val="22"/>
          <w:rtl w:val="0"/>
        </w:rPr>
        <w:t xml:space="preserve"> (1996). </w:t>
      </w:r>
      <w:r w:rsidDel="00000000" w:rsidR="00000000" w:rsidRPr="00000000">
        <w:rPr>
          <w:i w:val="1"/>
          <w:sz w:val="22"/>
          <w:szCs w:val="22"/>
          <w:rtl w:val="0"/>
        </w:rPr>
        <w:t xml:space="preserve">Exhibit Labels, an Interpretative Approach</w:t>
      </w:r>
      <w:r w:rsidDel="00000000" w:rsidR="00000000" w:rsidRPr="00000000">
        <w:rPr>
          <w:sz w:val="22"/>
          <w:szCs w:val="22"/>
          <w:rtl w:val="0"/>
        </w:rPr>
        <w:t xml:space="preserve">, cap. 5. Walnut Creek: Altamira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Modalidad de cursada (especifique aquí modo en que se desarrollarán las clases)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Modalidad virtual sincrónica y asincrónica.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Formas de evaluación</w:t>
      </w:r>
    </w:p>
    <w:p w:rsidR="00000000" w:rsidDel="00000000" w:rsidP="00000000" w:rsidRDefault="00000000" w:rsidRPr="00000000" w14:paraId="0000004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La evaluación del taller se realizará mediante la realización de un </w:t>
      </w:r>
      <w:r w:rsidDel="00000000" w:rsidR="00000000" w:rsidRPr="00000000">
        <w:rPr>
          <w:sz w:val="22"/>
          <w:szCs w:val="22"/>
          <w:rtl w:val="0"/>
        </w:rPr>
        <w:t xml:space="preserve">Trabajo Final Obligatorio (TFO)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both"/>
        <w:rPr>
          <w:b w:val="1"/>
          <w:i w:val="1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Requisitos para la aprobación del seminario</w:t>
      </w:r>
    </w:p>
    <w:p w:rsidR="00000000" w:rsidDel="00000000" w:rsidP="00000000" w:rsidRDefault="00000000" w:rsidRPr="00000000" w14:paraId="0000004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Asistencia al Taller en un 75%. Aprobación del TFO con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Cambria" w:cs="Cambria" w:eastAsia="Cambria" w:hAnsi="Cambria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s-A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Cambria" w:cs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Cambria" w:cs="Cambria" w:eastAsia="Times New Roman" w:hAnsi="Cambria"/>
      <w:b w:val="1"/>
      <w:bCs w:val="1"/>
      <w:w w:val="100"/>
      <w:position w:val="-1"/>
      <w:sz w:val="26"/>
      <w:szCs w:val="26"/>
      <w:u w:val="single"/>
      <w:effect w:val="none"/>
      <w:vertAlign w:val="baseline"/>
      <w:cs w:val="0"/>
      <w:em w:val="none"/>
      <w:lang w:bidi="ar-SA" w:eastAsia="zh-CN" w:val="es-A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Calibri" w:cs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numPr>
        <w:ilvl w:val="4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Calibri" w:cs="Calibri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es-AR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numPr>
        <w:ilvl w:val="5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Calibri" w:cs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numPr>
        <w:ilvl w:val="6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numPr>
        <w:ilvl w:val="7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Calibri" w:cs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numPr>
        <w:ilvl w:val="8"/>
        <w:numId w:val="1"/>
      </w:numPr>
      <w:suppressAutoHyphens w:val="0"/>
      <w:spacing w:after="60" w:before="240" w:line="1" w:lineRule="atLeast"/>
      <w:ind w:leftChars="-1" w:rightChars="0" w:firstLineChars="-1"/>
      <w:jc w:val="both"/>
      <w:textDirection w:val="btLr"/>
      <w:textAlignment w:val="top"/>
      <w:outlineLvl w:val="8"/>
    </w:pPr>
    <w:rPr>
      <w:rFonts w:ascii="Cambria" w:cs="Cambria" w:eastAsia="Times New Roman" w:hAnsi="Cambria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s-AR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3">
    <w:name w:val="Fuente de párrafo predeter.3"/>
    <w:next w:val="Fuentedepárrafopredeter.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acteresdenotaalpie">
    <w:name w:val="Caracteres de nota al pie"/>
    <w:next w:val="Caracteres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pie1">
    <w:name w:val="Ref. de nota al pie1"/>
    <w:next w:val="Ref.denotaalpie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acteresdenotafinal">
    <w:name w:val="Caracteres de nota final"/>
    <w:next w:val="Caracteresdenotafinal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WW-Caracteresdenotafinal">
    <w:name w:val="WW-Caracteres de nota final"/>
    <w:next w:val="WW-Caracteresdenotafina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Viñetas">
    <w:name w:val="Viñetas"/>
    <w:next w:val="Viñet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 w:val="es-ES"/>
    </w:rPr>
  </w:style>
  <w:style w:type="character" w:styleId="Título1Car">
    <w:name w:val="Título 1 Car"/>
    <w:next w:val="Título1Car"/>
    <w:autoRedefine w:val="0"/>
    <w:hidden w:val="0"/>
    <w:qFormat w:val="0"/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mbria" w:cs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mbria" w:cs="Cambria" w:eastAsia="Times New Roman" w:hAnsi="Cambria"/>
      <w:b w:val="1"/>
      <w:bCs w:val="1"/>
      <w:w w:val="100"/>
      <w:position w:val="-1"/>
      <w:sz w:val="26"/>
      <w:szCs w:val="26"/>
      <w:u w:val="single"/>
      <w:effect w:val="none"/>
      <w:vertAlign w:val="baseline"/>
      <w:cs w:val="0"/>
      <w:em w:val="none"/>
      <w:lang/>
    </w:rPr>
  </w:style>
  <w:style w:type="character" w:styleId="Título4Car">
    <w:name w:val="Título 4 Car"/>
    <w:next w:val="Título4C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Título5Car">
    <w:name w:val="Título 5 Car"/>
    <w:next w:val="Título5Car"/>
    <w:autoRedefine w:val="0"/>
    <w:hidden w:val="0"/>
    <w:qFormat w:val="0"/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Título6Car">
    <w:name w:val="Título 6 Car"/>
    <w:next w:val="Título6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8Car">
    <w:name w:val="Título 8 Car"/>
    <w:next w:val="Título8Car"/>
    <w:autoRedefine w:val="0"/>
    <w:hidden w:val="0"/>
    <w:qFormat w:val="0"/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ítulo9Car">
    <w:name w:val="Título 9 Car"/>
    <w:next w:val="Título9Car"/>
    <w:autoRedefine w:val="0"/>
    <w:hidden w:val="0"/>
    <w:qFormat w:val="0"/>
    <w:rPr>
      <w:rFonts w:ascii="Cambria" w:cs="Cambria" w:eastAsia="Times New Roman" w:hAnsi="Cambria"/>
      <w:w w:val="100"/>
      <w:position w:val="-1"/>
      <w:effect w:val="none"/>
      <w:vertAlign w:val="baseline"/>
      <w:cs w:val="0"/>
      <w:em w:val="none"/>
      <w:lang/>
    </w:rPr>
  </w:style>
  <w:style w:type="character" w:styleId="TítuloCar">
    <w:name w:val="Título Car"/>
    <w:next w:val="TítuloCar"/>
    <w:autoRedefine w:val="0"/>
    <w:hidden w:val="0"/>
    <w:qFormat w:val="0"/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SubtítuloCar">
    <w:name w:val="Subtítulo Car"/>
    <w:next w:val="SubtítuloCar"/>
    <w:autoRedefine w:val="0"/>
    <w:hidden w:val="0"/>
    <w:qFormat w:val="0"/>
    <w:rPr>
      <w:rFonts w:ascii="Cambria" w:cs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Énfasis">
    <w:name w:val="Énfasis"/>
    <w:next w:val="Énfasis"/>
    <w:autoRedefine w:val="0"/>
    <w:hidden w:val="0"/>
    <w:qFormat w:val="0"/>
    <w:rPr>
      <w:rFonts w:ascii="Calibri" w:cs="Calibri" w:hAnsi="Calibri"/>
      <w:b w:val="1"/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itaCar">
    <w:name w:val="Cita Car"/>
    <w:next w:val="CitaCar"/>
    <w:autoRedefine w:val="0"/>
    <w:hidden w:val="0"/>
    <w:qFormat w:val="0"/>
    <w:rPr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itadestacadaCar">
    <w:name w:val="Cita destacada Car"/>
    <w:next w:val="CitadestacadaCar"/>
    <w:autoRedefine w:val="0"/>
    <w:hidden w:val="0"/>
    <w:qFormat w:val="0"/>
    <w:rPr>
      <w:b w:val="1"/>
      <w:i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Énfasissutil">
    <w:name w:val="Énfasis sutil"/>
    <w:next w:val="Énfasissutil"/>
    <w:autoRedefine w:val="0"/>
    <w:hidden w:val="0"/>
    <w:qFormat w:val="0"/>
    <w:rPr>
      <w:i w:val="1"/>
      <w:color w:val="5a5a5a"/>
      <w:w w:val="100"/>
      <w:position w:val="-1"/>
      <w:effect w:val="none"/>
      <w:vertAlign w:val="baseline"/>
      <w:cs w:val="0"/>
      <w:em w:val="none"/>
      <w:lang/>
    </w:rPr>
  </w:style>
  <w:style w:type="character" w:styleId="Énfasisintenso">
    <w:name w:val="Énfasis intenso"/>
    <w:next w:val="Énfasisintenso"/>
    <w:autoRedefine w:val="0"/>
    <w:hidden w:val="0"/>
    <w:qFormat w:val="0"/>
    <w:rPr>
      <w:b w:val="1"/>
      <w:i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Referenciasutil">
    <w:name w:val="Referencia sutil"/>
    <w:next w:val="Referenciasutil"/>
    <w:autoRedefine w:val="0"/>
    <w:hidden w:val="0"/>
    <w:qFormat w:val="0"/>
    <w:rPr>
      <w:w w:val="100"/>
      <w:position w:val="-1"/>
      <w:sz w:val="24"/>
      <w:szCs w:val="24"/>
      <w:u w:val="single"/>
      <w:effect w:val="none"/>
      <w:vertAlign w:val="baseline"/>
      <w:cs w:val="0"/>
      <w:em w:val="none"/>
      <w:lang/>
    </w:rPr>
  </w:style>
  <w:style w:type="character" w:styleId="Referenciaintensa">
    <w:name w:val="Referencia intensa"/>
    <w:next w:val="Referenciaintensa"/>
    <w:autoRedefine w:val="0"/>
    <w:hidden w:val="0"/>
    <w:qFormat w:val="0"/>
    <w:rPr>
      <w:b w:val="1"/>
      <w:w w:val="100"/>
      <w:position w:val="-1"/>
      <w:sz w:val="24"/>
      <w:u w:val="single"/>
      <w:effect w:val="none"/>
      <w:vertAlign w:val="baseline"/>
      <w:cs w:val="0"/>
      <w:em w:val="none"/>
      <w:lang/>
    </w:rPr>
  </w:style>
  <w:style w:type="character" w:styleId="Títulodellibro">
    <w:name w:val="Título del libro"/>
    <w:next w:val="Títulodellibro"/>
    <w:autoRedefine w:val="0"/>
    <w:hidden w:val="0"/>
    <w:qFormat w:val="0"/>
    <w:rPr>
      <w:rFonts w:ascii="Cambria" w:cs="Cambria" w:eastAsia="Times New Roman" w:hAnsi="Cambria"/>
      <w:b w:val="1"/>
      <w:i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Ref.denotaalpie2">
    <w:name w:val="Ref. de nota al pie2"/>
    <w:next w:val="Ref.denotaalpie2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notaalfinal1">
    <w:name w:val="Ref. de nota al final1"/>
    <w:next w:val="Ref.denotaalfinal1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ítulo3">
    <w:name w:val="Título3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FreeSans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Descripción">
    <w:name w:val="Descripción"/>
    <w:basedOn w:val="Normal"/>
    <w:next w:val="Descripción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Arial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FreeSans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ítulo2">
    <w:name w:val="Título2"/>
    <w:basedOn w:val="Normal"/>
    <w:next w:val="Normal"/>
    <w:autoRedefine w:val="0"/>
    <w:hidden w:val="0"/>
    <w:qFormat w:val="0"/>
    <w:pPr>
      <w:suppressAutoHyphens w:val="0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s-AR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FreeSans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ítulo1">
    <w:name w:val="Títul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FreeSans" w:eastAsia="DejaVu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Descripción1">
    <w:name w:val="Descripción1"/>
    <w:basedOn w:val="Normal"/>
    <w:next w:val="Descripción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FreeSans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Liberation Sans" w:cs="FreeSans" w:eastAsia="Droid Sans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es-AR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FreeSans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0"/>
      <w:spacing w:after="280" w:before="28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es-AR"/>
    </w:rPr>
  </w:style>
  <w:style w:type="paragraph" w:styleId="Cabeceraypie">
    <w:name w:val="Cabecera y pie"/>
    <w:basedOn w:val="Normal"/>
    <w:next w:val="Cabeceraypie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suppressAutoHyphens w:val="0"/>
      <w:spacing w:after="60" w:before="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ambria" w:cs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Sinespaciado">
    <w:name w:val="Sin espaciado"/>
    <w:basedOn w:val="Normal"/>
    <w:next w:val="Sinespaciad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32"/>
      <w:effect w:val="none"/>
      <w:vertAlign w:val="baseline"/>
      <w:cs w:val="0"/>
      <w:em w:val="none"/>
      <w:lang w:bidi="ar-SA" w:eastAsia="zh-CN" w:val="es-AR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both"/>
      <w:textDirection w:val="btLr"/>
      <w:textAlignment w:val="top"/>
      <w:outlineLvl w:val="0"/>
    </w:pPr>
    <w:rPr>
      <w:rFonts w:ascii="Calibri" w:cs="Calibri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Cita">
    <w:name w:val="Cita"/>
    <w:basedOn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cs="Calibri" w:hAnsi="Calibri"/>
      <w:i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s-AR"/>
    </w:rPr>
  </w:style>
  <w:style w:type="paragraph" w:styleId="Citadestacada">
    <w:name w:val="Cita destacada"/>
    <w:basedOn w:val="Normal"/>
    <w:next w:val="Normal"/>
    <w:autoRedefine w:val="0"/>
    <w:hidden w:val="0"/>
    <w:qFormat w:val="0"/>
    <w:pPr>
      <w:suppressAutoHyphens w:val="0"/>
      <w:spacing w:line="1" w:lineRule="atLeast"/>
      <w:ind w:left="720" w:right="720" w:leftChars="-1" w:rightChars="0" w:firstLine="0" w:firstLineChars="-1"/>
      <w:jc w:val="both"/>
      <w:textDirection w:val="btLr"/>
      <w:textAlignment w:val="top"/>
      <w:outlineLvl w:val="0"/>
    </w:pPr>
    <w:rPr>
      <w:rFonts w:ascii="Calibri" w:cs="Calibri" w:hAnsi="Calibri"/>
      <w:b w:val="1"/>
      <w:i w:val="1"/>
      <w:w w:val="100"/>
      <w:position w:val="-1"/>
      <w:sz w:val="24"/>
      <w:szCs w:val="22"/>
      <w:effect w:val="none"/>
      <w:vertAlign w:val="baseline"/>
      <w:cs w:val="0"/>
      <w:em w:val="none"/>
      <w:lang w:bidi="ar-SA" w:eastAsia="zh-CN" w:val="es-AR"/>
    </w:rPr>
  </w:style>
  <w:style w:type="paragraph" w:styleId="TítuloTDC">
    <w:name w:val="Título TDC"/>
    <w:basedOn w:val="Título10"/>
    <w:next w:val="Normal"/>
    <w:autoRedefine w:val="0"/>
    <w:hidden w:val="0"/>
    <w:qFormat w:val="0"/>
    <w:pPr>
      <w:keepNext w:val="1"/>
      <w:numPr>
        <w:ilvl w:val="0"/>
        <w:numId w:val="0"/>
      </w:numPr>
      <w:suppressAutoHyphens w:val="0"/>
      <w:spacing w:after="60" w:before="240" w:line="1" w:lineRule="atLeast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Cambria" w:cs="Cambria" w:eastAsia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 w:bidi="ar-SA" w:eastAsia="zh-CN" w:val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itishcouncil.in/sites/default/files/guidelines_for_museum_display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bermuseos.org/recursos/documentos/manual-basico-de-montaje-museografi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8VDI85psnuOUYbElLUD9CIzmWw==">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2022-10-11T18:33:00Z</dcterms:created>
  <dc:creator>.</dc:creator>
</cp:coreProperties>
</file>